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jc w:val="center"/>
      </w:pPr>
      <w:r>
        <w:rPr>
          <w:rFonts w:ascii="Calibri" w:hAnsi="Calibri"/>
          <w:b/>
          <w:color w:val="0B1F3A"/>
          <w:sz w:val="56"/>
        </w:rPr>
        <w:t>ARTIFICIAL INTELLIGENCE</w:t>
        <w:br/>
        <w:t>ACCEPTABLE USE POLICY</w:t>
      </w:r>
    </w:p>
    <w:p/>
    <w:p>
      <w:pPr>
        <w:jc w:val="center"/>
      </w:pPr>
      <w:r>
        <w:rPr>
          <w:rFonts w:ascii="Calibri" w:hAnsi="Calibri"/>
          <w:color w:val="1E6BB8"/>
          <w:sz w:val="28"/>
        </w:rPr>
        <w:t>Template for Organizational Use</w:t>
      </w:r>
    </w:p>
    <w:p/>
    <w:p>
      <w:pPr>
        <w:jc w:val="center"/>
        <w:pBdr>
          <w:bottom w:val="single" w:sz="12" w:space="1" w:color="1E6BB8"/>
        </w:pBdr>
      </w:pPr>
    </w:p>
    <w:p/>
    <w:tbl>
      <w:tblPr>
        <w:tblW w:type="auto" w:w="0"/>
        <w:jc w:val="center"/>
        <w:tblLook w:firstColumn="1" w:firstRow="1" w:lastColumn="0" w:lastRow="0" w:noHBand="0" w:noVBand="1" w:val="04A0"/>
      </w:tblPr>
      <w:tblGrid>
        <w:gridCol w:w="4680"/>
        <w:gridCol w:w="4680"/>
      </w:tblGrid>
      <w:tr>
        <w:tc>
          <w:tcPr>
            <w:tcW w:type="dxa" w:w="2880"/>
            <w:tcBorders>
              <w:top w:val="none" w:sz="0" w:space="0" w:color="auto"/>
              <w:left w:val="none" w:sz="0" w:space="0" w:color="auto"/>
              <w:bottom w:val="none" w:sz="0" w:space="0" w:color="auto"/>
              <w:right w:val="none" w:sz="0" w:space="0" w:color="auto"/>
            </w:tcBorders>
          </w:tcPr>
          <w:p>
            <w:pPr>
              <w:jc w:val="right"/>
            </w:pPr>
            <w:r>
              <w:rPr>
                <w:rFonts w:ascii="Calibri" w:hAnsi="Calibri"/>
                <w:b/>
                <w:color w:val="0B1F3A"/>
                <w:sz w:val="20"/>
              </w:rPr>
              <w:t>Document Owner:</w:t>
            </w:r>
          </w:p>
        </w:tc>
        <w:tc>
          <w:tcPr>
            <w:tcW w:type="dxa" w:w="5040"/>
            <w:tcBorders>
              <w:top w:val="none" w:sz="0" w:space="0" w:color="auto"/>
              <w:left w:val="none" w:sz="0" w:space="0" w:color="auto"/>
              <w:bottom w:val="none" w:sz="0" w:space="0" w:color="auto"/>
              <w:right w:val="none" w:sz="0" w:space="0" w:color="auto"/>
            </w:tcBorders>
          </w:tcPr>
          <w:p>
            <w:r>
              <w:rPr>
                <w:rFonts w:ascii="Calibri" w:hAnsi="Calibri"/>
                <w:i/>
                <w:color w:val="333333"/>
                <w:sz w:val="20"/>
              </w:rPr>
              <w:t>[Organization Name]</w:t>
            </w:r>
          </w:p>
        </w:tc>
      </w:tr>
      <w:tr>
        <w:tc>
          <w:tcPr>
            <w:tcW w:type="dxa" w:w="2880"/>
            <w:tcBorders>
              <w:top w:val="none" w:sz="0" w:space="0" w:color="auto"/>
              <w:left w:val="none" w:sz="0" w:space="0" w:color="auto"/>
              <w:bottom w:val="none" w:sz="0" w:space="0" w:color="auto"/>
              <w:right w:val="none" w:sz="0" w:space="0" w:color="auto"/>
            </w:tcBorders>
          </w:tcPr>
          <w:p>
            <w:pPr>
              <w:jc w:val="right"/>
            </w:pPr>
            <w:r>
              <w:rPr>
                <w:rFonts w:ascii="Calibri" w:hAnsi="Calibri"/>
                <w:b/>
                <w:color w:val="0B1F3A"/>
                <w:sz w:val="20"/>
              </w:rPr>
              <w:t>Classification:</w:t>
            </w:r>
          </w:p>
        </w:tc>
        <w:tc>
          <w:tcPr>
            <w:tcW w:type="dxa" w:w="5040"/>
            <w:tcBorders>
              <w:top w:val="none" w:sz="0" w:space="0" w:color="auto"/>
              <w:left w:val="none" w:sz="0" w:space="0" w:color="auto"/>
              <w:bottom w:val="none" w:sz="0" w:space="0" w:color="auto"/>
              <w:right w:val="none" w:sz="0" w:space="0" w:color="auto"/>
            </w:tcBorders>
          </w:tcPr>
          <w:p>
            <w:r>
              <w:rPr>
                <w:rFonts w:ascii="Calibri" w:hAnsi="Calibri"/>
                <w:i/>
                <w:color w:val="333333"/>
                <w:sz w:val="20"/>
              </w:rPr>
              <w:t>Internal — Confidential</w:t>
            </w:r>
          </w:p>
        </w:tc>
      </w:tr>
      <w:tr>
        <w:tc>
          <w:tcPr>
            <w:tcW w:type="dxa" w:w="2880"/>
            <w:tcBorders>
              <w:top w:val="none" w:sz="0" w:space="0" w:color="auto"/>
              <w:left w:val="none" w:sz="0" w:space="0" w:color="auto"/>
              <w:bottom w:val="none" w:sz="0" w:space="0" w:color="auto"/>
              <w:right w:val="none" w:sz="0" w:space="0" w:color="auto"/>
            </w:tcBorders>
          </w:tcPr>
          <w:p>
            <w:pPr>
              <w:jc w:val="right"/>
            </w:pPr>
            <w:r>
              <w:rPr>
                <w:rFonts w:ascii="Calibri" w:hAnsi="Calibri"/>
                <w:b/>
                <w:color w:val="0B1F3A"/>
                <w:sz w:val="20"/>
              </w:rPr>
              <w:t>Version:</w:t>
            </w:r>
          </w:p>
        </w:tc>
        <w:tc>
          <w:tcPr>
            <w:tcW w:type="dxa" w:w="5040"/>
            <w:tcBorders>
              <w:top w:val="none" w:sz="0" w:space="0" w:color="auto"/>
              <w:left w:val="none" w:sz="0" w:space="0" w:color="auto"/>
              <w:bottom w:val="none" w:sz="0" w:space="0" w:color="auto"/>
              <w:right w:val="none" w:sz="0" w:space="0" w:color="auto"/>
            </w:tcBorders>
          </w:tcPr>
          <w:p>
            <w:r>
              <w:rPr>
                <w:rFonts w:ascii="Calibri" w:hAnsi="Calibri"/>
                <w:i/>
                <w:color w:val="333333"/>
                <w:sz w:val="20"/>
              </w:rPr>
              <w:t>1.0</w:t>
            </w:r>
          </w:p>
        </w:tc>
      </w:tr>
      <w:tr>
        <w:tc>
          <w:tcPr>
            <w:tcW w:type="dxa" w:w="2880"/>
            <w:tcBorders>
              <w:top w:val="none" w:sz="0" w:space="0" w:color="auto"/>
              <w:left w:val="none" w:sz="0" w:space="0" w:color="auto"/>
              <w:bottom w:val="none" w:sz="0" w:space="0" w:color="auto"/>
              <w:right w:val="none" w:sz="0" w:space="0" w:color="auto"/>
            </w:tcBorders>
          </w:tcPr>
          <w:p>
            <w:pPr>
              <w:jc w:val="right"/>
            </w:pPr>
            <w:r>
              <w:rPr>
                <w:rFonts w:ascii="Calibri" w:hAnsi="Calibri"/>
                <w:b/>
                <w:color w:val="0B1F3A"/>
                <w:sz w:val="20"/>
              </w:rPr>
              <w:t>Effective Date:</w:t>
            </w:r>
          </w:p>
        </w:tc>
        <w:tc>
          <w:tcPr>
            <w:tcW w:type="dxa" w:w="5040"/>
            <w:tcBorders>
              <w:top w:val="none" w:sz="0" w:space="0" w:color="auto"/>
              <w:left w:val="none" w:sz="0" w:space="0" w:color="auto"/>
              <w:bottom w:val="none" w:sz="0" w:space="0" w:color="auto"/>
              <w:right w:val="none" w:sz="0" w:space="0" w:color="auto"/>
            </w:tcBorders>
          </w:tcPr>
          <w:p>
            <w:r>
              <w:rPr>
                <w:rFonts w:ascii="Calibri" w:hAnsi="Calibri"/>
                <w:i/>
                <w:color w:val="333333"/>
                <w:sz w:val="20"/>
              </w:rPr>
              <w:t>[Insert Date]</w:t>
            </w:r>
          </w:p>
        </w:tc>
      </w:tr>
      <w:tr>
        <w:tc>
          <w:tcPr>
            <w:tcW w:type="dxa" w:w="2880"/>
            <w:tcBorders>
              <w:top w:val="none" w:sz="0" w:space="0" w:color="auto"/>
              <w:left w:val="none" w:sz="0" w:space="0" w:color="auto"/>
              <w:bottom w:val="none" w:sz="0" w:space="0" w:color="auto"/>
              <w:right w:val="none" w:sz="0" w:space="0" w:color="auto"/>
            </w:tcBorders>
          </w:tcPr>
          <w:p>
            <w:pPr>
              <w:jc w:val="right"/>
            </w:pPr>
            <w:r>
              <w:rPr>
                <w:rFonts w:ascii="Calibri" w:hAnsi="Calibri"/>
                <w:b/>
                <w:color w:val="0B1F3A"/>
                <w:sz w:val="20"/>
              </w:rPr>
              <w:t>Next Review Date:</w:t>
            </w:r>
          </w:p>
        </w:tc>
        <w:tc>
          <w:tcPr>
            <w:tcW w:type="dxa" w:w="5040"/>
            <w:tcBorders>
              <w:top w:val="none" w:sz="0" w:space="0" w:color="auto"/>
              <w:left w:val="none" w:sz="0" w:space="0" w:color="auto"/>
              <w:bottom w:val="none" w:sz="0" w:space="0" w:color="auto"/>
              <w:right w:val="none" w:sz="0" w:space="0" w:color="auto"/>
            </w:tcBorders>
          </w:tcPr>
          <w:p>
            <w:r>
              <w:rPr>
                <w:rFonts w:ascii="Calibri" w:hAnsi="Calibri"/>
                <w:i/>
                <w:color w:val="333333"/>
                <w:sz w:val="20"/>
              </w:rPr>
              <w:t>[Insert Date — Recommend Annual]</w:t>
            </w:r>
          </w:p>
        </w:tc>
      </w:tr>
    </w:tbl>
    <w:p>
      <w:r>
        <w:br w:type="page"/>
      </w:r>
    </w:p>
    <w:p>
      <w:pPr>
        <w:jc w:val="center"/>
      </w:pPr>
      <w:r>
        <w:rPr>
          <w:rFonts w:ascii="Calibri" w:hAnsi="Calibri"/>
          <w:i/>
          <w:color w:val="666666"/>
          <w:sz w:val="18"/>
        </w:rPr>
        <w:t>Prepared by Ayliea LLC  —  AI Security Consulting  —  ayliea.com</w:t>
      </w:r>
    </w:p>
    <w:p>
      <w:pPr>
        <w:jc w:val="center"/>
      </w:pPr>
      <w:r>
        <w:rPr>
          <w:rFonts w:ascii="Calibri" w:hAnsi="Calibri"/>
          <w:i/>
          <w:color w:val="666666"/>
          <w:sz w:val="18"/>
        </w:rPr>
        <w:t>This template is provided as a starting framework for organizational AI governance. Customize all bracketed fields to reflect your organization's specific requirements, tools, and regulatory obligations. Legal review is recommended before adoption.</w:t>
      </w:r>
    </w:p>
    <w:p/>
    <w:p>
      <w:pPr>
        <w:pStyle w:val="Heading1"/>
        <w:pBdr>
          <w:bottom w:val="single" w:sz="6" w:space="1" w:color="1E6BB8"/>
        </w:pBdr>
      </w:pPr>
      <w:r>
        <w:t>TABLE OF CONTENTS</w:t>
      </w:r>
    </w:p>
    <w:p>
      <w:r>
        <w:fldChar w:fldCharType="begin"/>
      </w:r>
      <w:r>
        <w:instrText xml:space="preserve"> TOC \o "1-1" \h \z \u </w:instrText>
      </w:r>
      <w:r>
        <w:fldChar w:fldCharType="separate"/>
      </w:r>
      <w:r>
        <w:rPr>
          <w:rFonts w:ascii="Calibri" w:hAnsi="Calibri"/>
          <w:i/>
          <w:color w:val="666666"/>
          <w:sz w:val="20"/>
        </w:rPr>
        <w:t>[Right-click here and select "Update Field" to populate Table of Contents with page numbers]</w:t>
      </w:r>
      <w:r>
        <w:fldChar w:fldCharType="end"/>
      </w:r>
    </w:p>
    <w:p/>
    <w:p>
      <w:pPr>
        <w:jc w:val="left"/>
      </w:pPr>
      <w:r>
        <w:rPr>
          <w:rFonts w:ascii="Calibri" w:hAnsi="Calibri"/>
          <w:b/>
          <w:color w:val="1E6BB8"/>
          <w:sz w:val="18"/>
        </w:rPr>
        <w:t>Section Reference:</w:t>
      </w:r>
    </w:p>
    <w:p>
      <w:pPr>
        <w:spacing w:before="40" w:after="40"/>
      </w:pPr>
      <w:r>
        <w:rPr>
          <w:rFonts w:ascii="Calibri" w:hAnsi="Calibri"/>
          <w:color w:val="333333"/>
          <w:sz w:val="20"/>
        </w:rPr>
        <w:t>1.  Purpose</w:t>
      </w:r>
    </w:p>
    <w:p>
      <w:pPr>
        <w:spacing w:before="40" w:after="40"/>
      </w:pPr>
      <w:r>
        <w:rPr>
          <w:rFonts w:ascii="Calibri" w:hAnsi="Calibri"/>
          <w:color w:val="333333"/>
          <w:sz w:val="20"/>
        </w:rPr>
        <w:t>2.  Scope</w:t>
      </w:r>
    </w:p>
    <w:p>
      <w:pPr>
        <w:spacing w:before="40" w:after="40"/>
      </w:pPr>
      <w:r>
        <w:rPr>
          <w:rFonts w:ascii="Calibri" w:hAnsi="Calibri"/>
          <w:color w:val="333333"/>
          <w:sz w:val="20"/>
        </w:rPr>
        <w:t>3.  Definitions</w:t>
      </w:r>
    </w:p>
    <w:p>
      <w:pPr>
        <w:spacing w:before="40" w:after="40"/>
      </w:pPr>
      <w:r>
        <w:rPr>
          <w:rFonts w:ascii="Calibri" w:hAnsi="Calibri"/>
          <w:color w:val="333333"/>
          <w:sz w:val="20"/>
        </w:rPr>
        <w:t>4.  Policy Governance and Ownership</w:t>
      </w:r>
    </w:p>
    <w:p>
      <w:pPr>
        <w:spacing w:before="40" w:after="40"/>
      </w:pPr>
      <w:r>
        <w:rPr>
          <w:rFonts w:ascii="Calibri" w:hAnsi="Calibri"/>
          <w:color w:val="333333"/>
          <w:sz w:val="20"/>
        </w:rPr>
        <w:t>5.  Approved AI Tools and Platforms</w:t>
      </w:r>
    </w:p>
    <w:p>
      <w:pPr>
        <w:spacing w:before="40" w:after="40"/>
      </w:pPr>
      <w:r>
        <w:rPr>
          <w:rFonts w:ascii="Calibri" w:hAnsi="Calibri"/>
          <w:color w:val="333333"/>
          <w:sz w:val="20"/>
        </w:rPr>
        <w:t>6.  Acceptable Uses of AI</w:t>
      </w:r>
    </w:p>
    <w:p>
      <w:pPr>
        <w:spacing w:before="40" w:after="40"/>
      </w:pPr>
      <w:r>
        <w:rPr>
          <w:rFonts w:ascii="Calibri" w:hAnsi="Calibri"/>
          <w:color w:val="333333"/>
          <w:sz w:val="20"/>
        </w:rPr>
        <w:t>7.  Prohibited Uses of AI</w:t>
      </w:r>
    </w:p>
    <w:p>
      <w:pPr>
        <w:spacing w:before="40" w:after="40"/>
      </w:pPr>
      <w:r>
        <w:rPr>
          <w:rFonts w:ascii="Calibri" w:hAnsi="Calibri"/>
          <w:color w:val="333333"/>
          <w:sz w:val="20"/>
        </w:rPr>
        <w:t>8.  Data Classification and AI Usage Requirements</w:t>
      </w:r>
    </w:p>
    <w:p>
      <w:pPr>
        <w:spacing w:before="40" w:after="40"/>
      </w:pPr>
      <w:r>
        <w:rPr>
          <w:rFonts w:ascii="Calibri" w:hAnsi="Calibri"/>
          <w:color w:val="333333"/>
          <w:sz w:val="20"/>
        </w:rPr>
        <w:t>9.  Privacy and Confidentiality</w:t>
      </w:r>
    </w:p>
    <w:p>
      <w:pPr>
        <w:spacing w:before="40" w:after="40"/>
      </w:pPr>
      <w:r>
        <w:rPr>
          <w:rFonts w:ascii="Calibri" w:hAnsi="Calibri"/>
          <w:color w:val="333333"/>
          <w:sz w:val="20"/>
        </w:rPr>
        <w:t>10. Security Requirements</w:t>
      </w:r>
    </w:p>
    <w:p>
      <w:pPr>
        <w:spacing w:before="40" w:after="40"/>
      </w:pPr>
      <w:r>
        <w:rPr>
          <w:rFonts w:ascii="Calibri" w:hAnsi="Calibri"/>
          <w:color w:val="333333"/>
          <w:sz w:val="20"/>
        </w:rPr>
        <w:t>11. Intellectual Property and Output Ownership</w:t>
      </w:r>
    </w:p>
    <w:p>
      <w:pPr>
        <w:spacing w:before="40" w:after="40"/>
      </w:pPr>
      <w:r>
        <w:rPr>
          <w:rFonts w:ascii="Calibri" w:hAnsi="Calibri"/>
          <w:color w:val="333333"/>
          <w:sz w:val="20"/>
        </w:rPr>
        <w:t>12. Accuracy, Bias, and Human Oversight</w:t>
      </w:r>
    </w:p>
    <w:p>
      <w:pPr>
        <w:spacing w:before="40" w:after="40"/>
      </w:pPr>
      <w:r>
        <w:rPr>
          <w:rFonts w:ascii="Calibri" w:hAnsi="Calibri"/>
          <w:color w:val="333333"/>
          <w:sz w:val="20"/>
        </w:rPr>
        <w:t>13. Third-Party AI Services and Procurement</w:t>
      </w:r>
    </w:p>
    <w:p>
      <w:pPr>
        <w:spacing w:before="40" w:after="40"/>
      </w:pPr>
      <w:r>
        <w:rPr>
          <w:rFonts w:ascii="Calibri" w:hAnsi="Calibri"/>
          <w:color w:val="333333"/>
          <w:sz w:val="20"/>
        </w:rPr>
        <w:t>14. Compliance and Regulatory Considerations</w:t>
      </w:r>
    </w:p>
    <w:p>
      <w:pPr>
        <w:spacing w:before="40" w:after="40"/>
      </w:pPr>
      <w:r>
        <w:rPr>
          <w:rFonts w:ascii="Calibri" w:hAnsi="Calibri"/>
          <w:color w:val="333333"/>
          <w:sz w:val="20"/>
        </w:rPr>
        <w:t>15. Monitoring, Logging, and Audit</w:t>
      </w:r>
    </w:p>
    <w:p>
      <w:pPr>
        <w:spacing w:before="40" w:after="40"/>
      </w:pPr>
      <w:r>
        <w:rPr>
          <w:rFonts w:ascii="Calibri" w:hAnsi="Calibri"/>
          <w:color w:val="333333"/>
          <w:sz w:val="20"/>
        </w:rPr>
        <w:t>16. Incident Reporting</w:t>
      </w:r>
    </w:p>
    <w:p>
      <w:pPr>
        <w:spacing w:before="40" w:after="40"/>
      </w:pPr>
      <w:r>
        <w:rPr>
          <w:rFonts w:ascii="Calibri" w:hAnsi="Calibri"/>
          <w:color w:val="333333"/>
          <w:sz w:val="20"/>
        </w:rPr>
        <w:t>17. Training and Awareness</w:t>
      </w:r>
    </w:p>
    <w:p>
      <w:pPr>
        <w:spacing w:before="40" w:after="40"/>
      </w:pPr>
      <w:r>
        <w:rPr>
          <w:rFonts w:ascii="Calibri" w:hAnsi="Calibri"/>
          <w:color w:val="333333"/>
          <w:sz w:val="20"/>
        </w:rPr>
        <w:t>18. Roles and Responsibilities</w:t>
      </w:r>
    </w:p>
    <w:p>
      <w:pPr>
        <w:spacing w:before="40" w:after="40"/>
      </w:pPr>
      <w:r>
        <w:rPr>
          <w:rFonts w:ascii="Calibri" w:hAnsi="Calibri"/>
          <w:color w:val="333333"/>
          <w:sz w:val="20"/>
        </w:rPr>
        <w:t>19. Enforcement and Consequences</w:t>
      </w:r>
    </w:p>
    <w:p>
      <w:pPr>
        <w:spacing w:before="40" w:after="40"/>
      </w:pPr>
      <w:r>
        <w:rPr>
          <w:rFonts w:ascii="Calibri" w:hAnsi="Calibri"/>
          <w:color w:val="333333"/>
          <w:sz w:val="20"/>
        </w:rPr>
        <w:t>20. Policy Exceptions</w:t>
      </w:r>
    </w:p>
    <w:p>
      <w:pPr>
        <w:spacing w:before="40" w:after="40"/>
      </w:pPr>
      <w:r>
        <w:rPr>
          <w:rFonts w:ascii="Calibri" w:hAnsi="Calibri"/>
          <w:color w:val="333333"/>
          <w:sz w:val="20"/>
        </w:rPr>
        <w:t>21. Related Policies and Standards</w:t>
      </w:r>
    </w:p>
    <w:p>
      <w:pPr>
        <w:spacing w:before="40" w:after="40"/>
      </w:pPr>
      <w:r>
        <w:rPr>
          <w:rFonts w:ascii="Calibri" w:hAnsi="Calibri"/>
          <w:color w:val="333333"/>
          <w:sz w:val="20"/>
        </w:rPr>
        <w:t>22. Document Revision History</w:t>
      </w:r>
    </w:p>
    <w:p>
      <w:pPr>
        <w:spacing w:before="40" w:after="40"/>
      </w:pPr>
      <w:r>
        <w:rPr>
          <w:rFonts w:ascii="Calibri" w:hAnsi="Calibri"/>
          <w:color w:val="333333"/>
          <w:sz w:val="20"/>
        </w:rPr>
        <w:t>Appendix A: AI Tool Approval Request Form</w:t>
      </w:r>
    </w:p>
    <w:p>
      <w:pPr>
        <w:spacing w:before="40" w:after="40"/>
      </w:pPr>
      <w:r>
        <w:rPr>
          <w:rFonts w:ascii="Calibri" w:hAnsi="Calibri"/>
          <w:color w:val="333333"/>
          <w:sz w:val="20"/>
        </w:rPr>
        <w:t>Appendix B: AI Risk Assessment Checklist</w:t>
      </w:r>
    </w:p>
    <w:p>
      <w:pPr>
        <w:spacing w:before="40" w:after="40"/>
      </w:pPr>
      <w:r>
        <w:rPr>
          <w:rFonts w:ascii="Calibri" w:hAnsi="Calibri"/>
          <w:color w:val="333333"/>
          <w:sz w:val="20"/>
        </w:rPr>
        <w:t>Appendix C: Employee Acknowledgment Form</w:t>
      </w:r>
    </w:p>
    <w:p>
      <w:r>
        <w:br w:type="page"/>
      </w:r>
    </w:p>
    <w:p>
      <w:pPr>
        <w:pStyle w:val="Heading1"/>
        <w:pBdr>
          <w:bottom w:val="single" w:sz="6" w:space="1" w:color="1E6BB8"/>
        </w:pBdr>
      </w:pPr>
      <w:r>
        <w:t>1. Purpose</w:t>
      </w:r>
    </w:p>
    <w:p>
      <w:r>
        <w:t>This Artificial Intelligence (AI) Acceptable Use Policy establishes the standards, guidelines, and requirements governing the use of AI technologies, tools, and systems by all personnel within [Organization Name] (hereinafter referred to as "the Organization"). The purpose of this policy is to:</w:t>
      </w:r>
    </w:p>
    <w:p>
      <w:pPr>
        <w:pStyle w:val="ListBullet"/>
      </w:pPr>
      <w:r>
        <w:rPr>
          <w:rFonts w:ascii="Calibri" w:hAnsi="Calibri"/>
          <w:sz w:val="22"/>
        </w:rPr>
        <w:t>Promote the responsible, ethical, and secure adoption of AI technologies across the Organization.</w:t>
      </w:r>
    </w:p>
    <w:p>
      <w:pPr>
        <w:pStyle w:val="ListBullet"/>
      </w:pPr>
      <w:r>
        <w:rPr>
          <w:rFonts w:ascii="Calibri" w:hAnsi="Calibri"/>
          <w:sz w:val="22"/>
        </w:rPr>
        <w:t>Protect organizational data, intellectual property, customer information, and proprietary assets from risks introduced by AI tool usage.</w:t>
      </w:r>
    </w:p>
    <w:p>
      <w:pPr>
        <w:pStyle w:val="ListBullet"/>
      </w:pPr>
      <w:r>
        <w:rPr>
          <w:rFonts w:ascii="Calibri" w:hAnsi="Calibri"/>
          <w:sz w:val="22"/>
        </w:rPr>
        <w:t>Ensure compliance with applicable laws, regulations, industry standards, and contractual obligations related to AI usage.</w:t>
      </w:r>
    </w:p>
    <w:p>
      <w:pPr>
        <w:pStyle w:val="ListBullet"/>
      </w:pPr>
      <w:r>
        <w:rPr>
          <w:rFonts w:ascii="Calibri" w:hAnsi="Calibri"/>
          <w:sz w:val="22"/>
        </w:rPr>
        <w:t>Define clear boundaries between acceptable and prohibited AI use cases to reduce organizational risk.</w:t>
      </w:r>
    </w:p>
    <w:p>
      <w:pPr>
        <w:pStyle w:val="ListBullet"/>
      </w:pPr>
      <w:r>
        <w:rPr>
          <w:rFonts w:ascii="Calibri" w:hAnsi="Calibri"/>
          <w:sz w:val="22"/>
        </w:rPr>
        <w:t>Establish accountability frameworks for AI usage across all departments and functions.</w:t>
      </w:r>
    </w:p>
    <w:p>
      <w:pPr>
        <w:pStyle w:val="ListBullet"/>
      </w:pPr>
      <w:r>
        <w:rPr>
          <w:rFonts w:ascii="Calibri" w:hAnsi="Calibri"/>
          <w:sz w:val="22"/>
        </w:rPr>
        <w:t>Enable innovation while maintaining appropriate safeguards for data privacy, security, and accuracy.</w:t>
      </w:r>
    </w:p>
    <w:p>
      <w:r>
        <w:t>This policy is a living document and will be reviewed and updated on at least an annual basis, or more frequently as the AI landscape, regulatory requirements, or organizational needs evolve.</w:t>
      </w:r>
    </w:p>
    <w:p>
      <w:pPr>
        <w:pStyle w:val="Heading1"/>
        <w:pBdr>
          <w:bottom w:val="single" w:sz="6" w:space="1" w:color="1E6BB8"/>
        </w:pBdr>
      </w:pPr>
      <w:r>
        <w:t>2. Scope</w:t>
      </w:r>
    </w:p>
    <w:p>
      <w:pPr>
        <w:pStyle w:val="Heading2"/>
      </w:pPr>
      <w:r>
        <w:t>2.1 Personnel</w:t>
      </w:r>
    </w:p>
    <w:p>
      <w:r>
        <w:t>This policy applies to all individuals who access, use, develop, deploy, or manage AI technologies on behalf of the Organization, including but not limited to:</w:t>
      </w:r>
    </w:p>
    <w:p>
      <w:pPr>
        <w:pStyle w:val="ListBullet"/>
      </w:pPr>
      <w:r>
        <w:rPr>
          <w:rFonts w:ascii="Calibri" w:hAnsi="Calibri"/>
          <w:sz w:val="22"/>
        </w:rPr>
        <w:t>Full-time and part-time employees across all departments and locations.</w:t>
      </w:r>
    </w:p>
    <w:p>
      <w:pPr>
        <w:pStyle w:val="ListBullet"/>
      </w:pPr>
      <w:r>
        <w:rPr>
          <w:rFonts w:ascii="Calibri" w:hAnsi="Calibri"/>
          <w:sz w:val="22"/>
        </w:rPr>
        <w:t>Contractors, consultants, and temporary staff with access to organizational systems or data.</w:t>
      </w:r>
    </w:p>
    <w:p>
      <w:pPr>
        <w:pStyle w:val="ListBullet"/>
      </w:pPr>
      <w:r>
        <w:rPr>
          <w:rFonts w:ascii="Calibri" w:hAnsi="Calibri"/>
          <w:sz w:val="22"/>
        </w:rPr>
        <w:t>Interns and fellows working within the Organization.</w:t>
      </w:r>
    </w:p>
    <w:p>
      <w:pPr>
        <w:pStyle w:val="ListBullet"/>
      </w:pPr>
      <w:r>
        <w:rPr>
          <w:rFonts w:ascii="Calibri" w:hAnsi="Calibri"/>
          <w:sz w:val="22"/>
        </w:rPr>
        <w:t>Third-party vendors and service providers who process organizational data using AI technologies.</w:t>
      </w:r>
    </w:p>
    <w:p>
      <w:pPr>
        <w:pStyle w:val="ListBullet"/>
      </w:pPr>
      <w:r>
        <w:rPr>
          <w:rFonts w:ascii="Calibri" w:hAnsi="Calibri"/>
          <w:sz w:val="22"/>
        </w:rPr>
        <w:t>Executive leadership and board members who utilize AI tools in their governance capacity.</w:t>
      </w:r>
    </w:p>
    <w:p>
      <w:pPr>
        <w:pStyle w:val="Heading2"/>
      </w:pPr>
      <w:r>
        <w:t>2.2 Technologies</w:t>
      </w:r>
    </w:p>
    <w:p>
      <w:r>
        <w:t>This policy covers all forms of artificial intelligence, including but not limited to:</w:t>
      </w:r>
    </w:p>
    <w:p>
      <w:pPr>
        <w:pStyle w:val="ListBullet"/>
      </w:pPr>
      <w:r>
        <w:rPr>
          <w:rFonts w:ascii="Calibri" w:hAnsi="Calibri"/>
          <w:sz w:val="22"/>
        </w:rPr>
        <w:t>Generative AI platforms (e.g., ChatGPT, Claude, Gemini, Copilot, Midjourney, DALL-E).</w:t>
      </w:r>
    </w:p>
    <w:p>
      <w:pPr>
        <w:pStyle w:val="ListBullet"/>
      </w:pPr>
      <w:r>
        <w:rPr>
          <w:rFonts w:ascii="Calibri" w:hAnsi="Calibri"/>
          <w:sz w:val="22"/>
        </w:rPr>
        <w:t>Machine learning models — both commercially licensed and internally developed.</w:t>
      </w:r>
    </w:p>
    <w:p>
      <w:pPr>
        <w:pStyle w:val="ListBullet"/>
      </w:pPr>
      <w:r>
        <w:rPr>
          <w:rFonts w:ascii="Calibri" w:hAnsi="Calibri"/>
          <w:sz w:val="22"/>
        </w:rPr>
        <w:t>Natural language processing (NLP) tools, including chatbots, virtual assistants, and text analysis tools.</w:t>
      </w:r>
    </w:p>
    <w:p>
      <w:pPr>
        <w:pStyle w:val="ListBullet"/>
      </w:pPr>
      <w:r>
        <w:rPr>
          <w:rFonts w:ascii="Calibri" w:hAnsi="Calibri"/>
          <w:sz w:val="22"/>
        </w:rPr>
        <w:t>Computer vision and image recognition systems.</w:t>
      </w:r>
    </w:p>
    <w:p>
      <w:pPr>
        <w:pStyle w:val="ListBullet"/>
      </w:pPr>
      <w:r>
        <w:rPr>
          <w:rFonts w:ascii="Calibri" w:hAnsi="Calibri"/>
          <w:sz w:val="22"/>
        </w:rPr>
        <w:t>Robotic process automation (RPA) with AI/ML capabilities.</w:t>
      </w:r>
    </w:p>
    <w:p>
      <w:pPr>
        <w:pStyle w:val="ListBullet"/>
      </w:pPr>
      <w:r>
        <w:rPr>
          <w:rFonts w:ascii="Calibri" w:hAnsi="Calibri"/>
          <w:sz w:val="22"/>
        </w:rPr>
        <w:t>AI-powered features embedded within existing enterprise software (e.g., AI summarization in email clients, AI-assisted code generation in IDEs, AI analytics in business intelligence platforms).</w:t>
      </w:r>
    </w:p>
    <w:p>
      <w:pPr>
        <w:pStyle w:val="ListBullet"/>
      </w:pPr>
      <w:r>
        <w:rPr>
          <w:rFonts w:ascii="Calibri" w:hAnsi="Calibri"/>
          <w:sz w:val="22"/>
        </w:rPr>
        <w:t>Custom or fine-tuned AI models deployed within organizational infrastructure.</w:t>
      </w:r>
    </w:p>
    <w:p>
      <w:pPr>
        <w:pStyle w:val="ListBullet"/>
      </w:pPr>
      <w:r>
        <w:rPr>
          <w:rFonts w:ascii="Calibri" w:hAnsi="Calibri"/>
          <w:sz w:val="22"/>
        </w:rPr>
        <w:t>AI APIs and integrations connected to organizational systems or data pipelines.</w:t>
      </w:r>
    </w:p>
    <w:p>
      <w:pPr>
        <w:pStyle w:val="Heading2"/>
      </w:pPr>
      <w:r>
        <w:t>2.3 Environments</w:t>
      </w:r>
    </w:p>
    <w:p>
      <w:r>
        <w:t>This policy applies to AI usage across all environments, including organizational networks, personal devices used for work (BYOD), cloud environments, remote work settings, and any third-party platforms accessed for business purposes.</w:t>
      </w:r>
    </w:p>
    <w:p>
      <w:pPr>
        <w:pStyle w:val="Heading1"/>
        <w:pBdr>
          <w:bottom w:val="single" w:sz="6" w:space="1" w:color="1E6BB8"/>
        </w:pBdr>
      </w:pPr>
      <w:r>
        <w:t>3. Definitions</w:t>
      </w:r>
    </w:p>
    <w:tbl>
      <w:tblPr>
        <w:tblW w:type="auto" w:w="0"/>
        <w:jc w:val="center"/>
        <w:tblLook w:firstColumn="1" w:firstRow="1" w:lastColumn="0" w:lastRow="0" w:noHBand="0" w:noVBand="1" w:val="04A0"/>
      </w:tblPr>
      <w:tblGrid>
        <w:gridCol w:w="4680"/>
        <w:gridCol w:w="4680"/>
      </w:tblGrid>
      <w:tr>
        <w:tc>
          <w:tcPr>
            <w:tcW w:type="dxa" w:w="4680"/>
            <w:shd w:fill="0B1F3A"/>
          </w:tcPr>
          <w:p>
            <w:r>
              <w:rPr>
                <w:rFonts w:ascii="Calibri" w:hAnsi="Calibri"/>
                <w:b/>
                <w:color w:val="FFFFFF"/>
                <w:sz w:val="20"/>
              </w:rPr>
              <w:t>Term</w:t>
            </w:r>
          </w:p>
        </w:tc>
        <w:tc>
          <w:tcPr>
            <w:tcW w:type="dxa" w:w="4680"/>
            <w:shd w:fill="0B1F3A"/>
          </w:tcPr>
          <w:p>
            <w:r>
              <w:rPr>
                <w:rFonts w:ascii="Calibri" w:hAnsi="Calibri"/>
                <w:b/>
                <w:color w:val="FFFFFF"/>
                <w:sz w:val="20"/>
              </w:rPr>
              <w:t>Definition</w:t>
            </w:r>
          </w:p>
        </w:tc>
      </w:tr>
      <w:tr>
        <w:tc>
          <w:tcPr>
            <w:tcW w:type="dxa" w:w="2880"/>
            <w:shd w:fill="E8F0FE"/>
          </w:tcPr>
          <w:p>
            <w:r>
              <w:rPr>
                <w:rFonts w:ascii="Calibri" w:hAnsi="Calibri"/>
                <w:b/>
                <w:color w:val="333333"/>
                <w:sz w:val="20"/>
              </w:rPr>
              <w:t>Artificial Intelligence (AI)</w:t>
            </w:r>
          </w:p>
        </w:tc>
        <w:tc>
          <w:tcPr>
            <w:tcW w:type="dxa" w:w="6480"/>
            <w:shd w:fill="E8F0FE"/>
          </w:tcPr>
          <w:p>
            <w:r>
              <w:rPr>
                <w:rFonts w:ascii="Calibri" w:hAnsi="Calibri"/>
                <w:color w:val="333333"/>
                <w:sz w:val="20"/>
              </w:rPr>
              <w:t>Computer systems designed to perform tasks that typically require human intelligence, including learning, reasoning, problem-solving, perception, and language understanding.</w:t>
            </w:r>
          </w:p>
        </w:tc>
      </w:tr>
      <w:tr>
        <w:tc>
          <w:tcPr>
            <w:tcW w:type="dxa" w:w="2880"/>
          </w:tcPr>
          <w:p>
            <w:r>
              <w:rPr>
                <w:rFonts w:ascii="Calibri" w:hAnsi="Calibri"/>
                <w:b/>
                <w:color w:val="333333"/>
                <w:sz w:val="20"/>
              </w:rPr>
              <w:t>Generative AI</w:t>
            </w:r>
          </w:p>
        </w:tc>
        <w:tc>
          <w:tcPr>
            <w:tcW w:type="dxa" w:w="6480"/>
          </w:tcPr>
          <w:p>
            <w:r>
              <w:rPr>
                <w:rFonts w:ascii="Calibri" w:hAnsi="Calibri"/>
                <w:color w:val="333333"/>
                <w:sz w:val="20"/>
              </w:rPr>
              <w:t>AI systems capable of creating new content — including text, images, code, audio, and video — based on patterns learned from training data.</w:t>
            </w:r>
          </w:p>
        </w:tc>
      </w:tr>
      <w:tr>
        <w:tc>
          <w:tcPr>
            <w:tcW w:type="dxa" w:w="2880"/>
            <w:shd w:fill="E8F0FE"/>
          </w:tcPr>
          <w:p>
            <w:r>
              <w:rPr>
                <w:rFonts w:ascii="Calibri" w:hAnsi="Calibri"/>
                <w:b/>
                <w:color w:val="333333"/>
                <w:sz w:val="20"/>
              </w:rPr>
              <w:t>AI Model</w:t>
            </w:r>
          </w:p>
        </w:tc>
        <w:tc>
          <w:tcPr>
            <w:tcW w:type="dxa" w:w="6480"/>
            <w:shd w:fill="E8F0FE"/>
          </w:tcPr>
          <w:p>
            <w:r>
              <w:rPr>
                <w:rFonts w:ascii="Calibri" w:hAnsi="Calibri"/>
                <w:color w:val="333333"/>
                <w:sz w:val="20"/>
              </w:rPr>
              <w:t>A mathematical construct trained on data to recognize patterns and make predictions or generate outputs.</w:t>
            </w:r>
          </w:p>
        </w:tc>
      </w:tr>
      <w:tr>
        <w:tc>
          <w:tcPr>
            <w:tcW w:type="dxa" w:w="2880"/>
          </w:tcPr>
          <w:p>
            <w:r>
              <w:rPr>
                <w:rFonts w:ascii="Calibri" w:hAnsi="Calibri"/>
                <w:b/>
                <w:color w:val="333333"/>
                <w:sz w:val="20"/>
              </w:rPr>
              <w:t>Prompt</w:t>
            </w:r>
          </w:p>
        </w:tc>
        <w:tc>
          <w:tcPr>
            <w:tcW w:type="dxa" w:w="6480"/>
          </w:tcPr>
          <w:p>
            <w:r>
              <w:rPr>
                <w:rFonts w:ascii="Calibri" w:hAnsi="Calibri"/>
                <w:color w:val="333333"/>
                <w:sz w:val="20"/>
              </w:rPr>
              <w:t>The input — text, image, or other data — provided to an AI system to generate a response or output.</w:t>
            </w:r>
          </w:p>
        </w:tc>
      </w:tr>
      <w:tr>
        <w:tc>
          <w:tcPr>
            <w:tcW w:type="dxa" w:w="2880"/>
            <w:shd w:fill="E8F0FE"/>
          </w:tcPr>
          <w:p>
            <w:r>
              <w:rPr>
                <w:rFonts w:ascii="Calibri" w:hAnsi="Calibri"/>
                <w:b/>
                <w:color w:val="333333"/>
                <w:sz w:val="20"/>
              </w:rPr>
              <w:t>AI Output</w:t>
            </w:r>
          </w:p>
        </w:tc>
        <w:tc>
          <w:tcPr>
            <w:tcW w:type="dxa" w:w="6480"/>
            <w:shd w:fill="E8F0FE"/>
          </w:tcPr>
          <w:p>
            <w:r>
              <w:rPr>
                <w:rFonts w:ascii="Calibri" w:hAnsi="Calibri"/>
                <w:color w:val="333333"/>
                <w:sz w:val="20"/>
              </w:rPr>
              <w:t>Any content, recommendation, decision, prediction, or artifact generated by an AI system.</w:t>
            </w:r>
          </w:p>
        </w:tc>
      </w:tr>
      <w:tr>
        <w:tc>
          <w:tcPr>
            <w:tcW w:type="dxa" w:w="2880"/>
          </w:tcPr>
          <w:p>
            <w:r>
              <w:rPr>
                <w:rFonts w:ascii="Calibri" w:hAnsi="Calibri"/>
                <w:b/>
                <w:color w:val="333333"/>
                <w:sz w:val="20"/>
              </w:rPr>
              <w:t>Training Data</w:t>
            </w:r>
          </w:p>
        </w:tc>
        <w:tc>
          <w:tcPr>
            <w:tcW w:type="dxa" w:w="6480"/>
          </w:tcPr>
          <w:p>
            <w:r>
              <w:rPr>
                <w:rFonts w:ascii="Calibri" w:hAnsi="Calibri"/>
                <w:color w:val="333333"/>
                <w:sz w:val="20"/>
              </w:rPr>
              <w:t>The dataset used to train, fine-tune, or improve an AI model's performance.</w:t>
            </w:r>
          </w:p>
        </w:tc>
      </w:tr>
      <w:tr>
        <w:tc>
          <w:tcPr>
            <w:tcW w:type="dxa" w:w="2880"/>
            <w:shd w:fill="E8F0FE"/>
          </w:tcPr>
          <w:p>
            <w:r>
              <w:rPr>
                <w:rFonts w:ascii="Calibri" w:hAnsi="Calibri"/>
                <w:b/>
                <w:color w:val="333333"/>
                <w:sz w:val="20"/>
              </w:rPr>
              <w:t>Shadow AI</w:t>
            </w:r>
          </w:p>
        </w:tc>
        <w:tc>
          <w:tcPr>
            <w:tcW w:type="dxa" w:w="6480"/>
            <w:shd w:fill="E8F0FE"/>
          </w:tcPr>
          <w:p>
            <w:r>
              <w:rPr>
                <w:rFonts w:ascii="Calibri" w:hAnsi="Calibri"/>
                <w:color w:val="333333"/>
                <w:sz w:val="20"/>
              </w:rPr>
              <w:t>The unauthorized or unvetted use of AI tools by personnel without organizational approval, security review, or IT oversight.</w:t>
            </w:r>
          </w:p>
        </w:tc>
      </w:tr>
      <w:tr>
        <w:tc>
          <w:tcPr>
            <w:tcW w:type="dxa" w:w="2880"/>
          </w:tcPr>
          <w:p>
            <w:r>
              <w:rPr>
                <w:rFonts w:ascii="Calibri" w:hAnsi="Calibri"/>
                <w:b/>
                <w:color w:val="333333"/>
                <w:sz w:val="20"/>
              </w:rPr>
              <w:t>Hallucination</w:t>
            </w:r>
          </w:p>
        </w:tc>
        <w:tc>
          <w:tcPr>
            <w:tcW w:type="dxa" w:w="6480"/>
          </w:tcPr>
          <w:p>
            <w:r>
              <w:rPr>
                <w:rFonts w:ascii="Calibri" w:hAnsi="Calibri"/>
                <w:color w:val="333333"/>
                <w:sz w:val="20"/>
              </w:rPr>
              <w:t>An AI-generated output that is factually incorrect, fabricated, or unsupported by source data, presented with apparent confidence.</w:t>
            </w:r>
          </w:p>
        </w:tc>
      </w:tr>
      <w:tr>
        <w:tc>
          <w:tcPr>
            <w:tcW w:type="dxa" w:w="2880"/>
            <w:shd w:fill="E8F0FE"/>
          </w:tcPr>
          <w:p>
            <w:r>
              <w:rPr>
                <w:rFonts w:ascii="Calibri" w:hAnsi="Calibri"/>
                <w:b/>
                <w:color w:val="333333"/>
                <w:sz w:val="20"/>
              </w:rPr>
              <w:t>Data Leakage</w:t>
            </w:r>
          </w:p>
        </w:tc>
        <w:tc>
          <w:tcPr>
            <w:tcW w:type="dxa" w:w="6480"/>
            <w:shd w:fill="E8F0FE"/>
          </w:tcPr>
          <w:p>
            <w:r>
              <w:rPr>
                <w:rFonts w:ascii="Calibri" w:hAnsi="Calibri"/>
                <w:color w:val="333333"/>
                <w:sz w:val="20"/>
              </w:rPr>
              <w:t>The unintended exposure of sensitive, confidential, or proprietary information to an AI system, particularly when that data may be used for model training or accessed by unauthorized parties.</w:t>
            </w:r>
          </w:p>
        </w:tc>
      </w:tr>
      <w:tr>
        <w:tc>
          <w:tcPr>
            <w:tcW w:type="dxa" w:w="2880"/>
          </w:tcPr>
          <w:p>
            <w:r>
              <w:rPr>
                <w:rFonts w:ascii="Calibri" w:hAnsi="Calibri"/>
                <w:b/>
                <w:color w:val="333333"/>
                <w:sz w:val="20"/>
              </w:rPr>
              <w:t>Human-in-the-Loop (HITL)</w:t>
            </w:r>
          </w:p>
        </w:tc>
        <w:tc>
          <w:tcPr>
            <w:tcW w:type="dxa" w:w="6480"/>
          </w:tcPr>
          <w:p>
            <w:r>
              <w:rPr>
                <w:rFonts w:ascii="Calibri" w:hAnsi="Calibri"/>
                <w:color w:val="333333"/>
                <w:sz w:val="20"/>
              </w:rPr>
              <w:t>A system design approach requiring human review, validation, and approval before AI-generated outputs are acted upon, published, or implemented.</w:t>
            </w:r>
          </w:p>
        </w:tc>
      </w:tr>
      <w:tr>
        <w:tc>
          <w:tcPr>
            <w:tcW w:type="dxa" w:w="2880"/>
            <w:shd w:fill="E8F0FE"/>
          </w:tcPr>
          <w:p>
            <w:r>
              <w:rPr>
                <w:rFonts w:ascii="Calibri" w:hAnsi="Calibri"/>
                <w:b/>
                <w:color w:val="333333"/>
                <w:sz w:val="20"/>
              </w:rPr>
              <w:t>Approved AI Tool</w:t>
            </w:r>
          </w:p>
        </w:tc>
        <w:tc>
          <w:tcPr>
            <w:tcW w:type="dxa" w:w="6480"/>
            <w:shd w:fill="E8F0FE"/>
          </w:tcPr>
          <w:p>
            <w:r>
              <w:rPr>
                <w:rFonts w:ascii="Calibri" w:hAnsi="Calibri"/>
                <w:color w:val="333333"/>
                <w:sz w:val="20"/>
              </w:rPr>
              <w:t>An AI technology that has been formally reviewed, risk-assessed, and authorized for use by the Organization's designated approval authority.</w:t>
            </w:r>
          </w:p>
        </w:tc>
      </w:tr>
    </w:tbl>
    <w:p>
      <w:pPr>
        <w:pStyle w:val="Heading1"/>
        <w:pBdr>
          <w:bottom w:val="single" w:sz="6" w:space="1" w:color="1E6BB8"/>
        </w:pBdr>
      </w:pPr>
      <w:r>
        <w:t>4. Policy Governance and Ownership</w:t>
      </w:r>
    </w:p>
    <w:p>
      <w:pPr>
        <w:pStyle w:val="Heading2"/>
      </w:pPr>
      <w:r>
        <w:t>4.1 Policy Owner</w:t>
      </w:r>
    </w:p>
    <w:p>
      <w:r>
        <w:t>This policy is owned by [Title/Role, e.g., Chief Information Security Officer (CISO)] and is maintained in coordination with [IT Department / Legal / Compliance / AI Governance Committee — select as applicable]. The Policy Owner is responsible for ensuring the policy remains current, enforceable, and aligned with organizational objectives.</w:t>
      </w:r>
    </w:p>
    <w:p>
      <w:pPr>
        <w:pStyle w:val="Heading2"/>
      </w:pPr>
      <w:r>
        <w:t>4.2 AI Governance Committee</w:t>
      </w:r>
    </w:p>
    <w:p>
      <w:r>
        <w:t>[Optional — Include if your organization has or plans to establish a cross-functional governance body.] The AI Governance Committee is a cross-functional body responsible for:</w:t>
      </w:r>
    </w:p>
    <w:p>
      <w:pPr>
        <w:pStyle w:val="ListBullet"/>
      </w:pPr>
      <w:r>
        <w:rPr>
          <w:rFonts w:ascii="Calibri" w:hAnsi="Calibri"/>
          <w:sz w:val="22"/>
        </w:rPr>
        <w:t>Reviewing and approving new AI tools and use cases.</w:t>
      </w:r>
    </w:p>
    <w:p>
      <w:pPr>
        <w:pStyle w:val="ListBullet"/>
      </w:pPr>
      <w:r>
        <w:rPr>
          <w:rFonts w:ascii="Calibri" w:hAnsi="Calibri"/>
          <w:sz w:val="22"/>
        </w:rPr>
        <w:t>Conducting periodic risk assessments of AI deployments.</w:t>
      </w:r>
    </w:p>
    <w:p>
      <w:pPr>
        <w:pStyle w:val="ListBullet"/>
      </w:pPr>
      <w:r>
        <w:rPr>
          <w:rFonts w:ascii="Calibri" w:hAnsi="Calibri"/>
          <w:sz w:val="22"/>
        </w:rPr>
        <w:t>Monitoring regulatory developments affecting AI usage.</w:t>
      </w:r>
    </w:p>
    <w:p>
      <w:pPr>
        <w:pStyle w:val="ListBullet"/>
      </w:pPr>
      <w:r>
        <w:rPr>
          <w:rFonts w:ascii="Calibri" w:hAnsi="Calibri"/>
          <w:sz w:val="22"/>
        </w:rPr>
        <w:t>Adjudicating policy exception requests.</w:t>
      </w:r>
    </w:p>
    <w:p>
      <w:pPr>
        <w:pStyle w:val="ListBullet"/>
      </w:pPr>
      <w:r>
        <w:rPr>
          <w:rFonts w:ascii="Calibri" w:hAnsi="Calibri"/>
          <w:sz w:val="22"/>
        </w:rPr>
        <w:t>Reporting AI risk posture to executive leadership.</w:t>
      </w:r>
    </w:p>
    <w:p>
      <w:r>
        <w:t>Committee membership should include representatives from Information Security, Legal/Compliance, IT, Human Resources, and relevant business units.</w:t>
      </w:r>
    </w:p>
    <w:p>
      <w:pPr>
        <w:pStyle w:val="Heading2"/>
      </w:pPr>
      <w:r>
        <w:t>4.3 Review Cadence</w:t>
      </w:r>
    </w:p>
    <w:p>
      <w:r>
        <w:t>This policy must be reviewed at least annually, or upon the occurrence of any of the following trigger events: a material change in AI-related regulations or enforcement actions; a significant AI-related security incident; adoption of a new AI platform or category of AI technology; organizational restructuring affecting AI governance; or changes to data classification standards or privacy requirements.</w:t>
      </w:r>
    </w:p>
    <w:p>
      <w:pPr>
        <w:pStyle w:val="Heading1"/>
        <w:pBdr>
          <w:bottom w:val="single" w:sz="6" w:space="1" w:color="1E6BB8"/>
        </w:pBdr>
      </w:pPr>
      <w:r>
        <w:t>5. Approved AI Tools and Platforms</w:t>
      </w:r>
    </w:p>
    <w:p>
      <w:pPr>
        <w:pStyle w:val="Heading2"/>
      </w:pPr>
      <w:r>
        <w:t>5.1 Approved Tool Registry</w:t>
      </w:r>
    </w:p>
    <w:p>
      <w:r>
        <w:t>The Organization maintains a registry of AI tools that have been reviewed, risk-assessed, and approved for use. Only tools listed in the Approved AI Tool Registry may be used for organizational purposes. The registry is maintained by [IT Security / AI Governance Committee] and includes the following information for each approved tool:</w:t>
      </w:r>
    </w:p>
    <w:tbl>
      <w:tblPr>
        <w:tblW w:type="auto" w:w="0"/>
        <w:jc w:val="center"/>
        <w:tblLook w:firstColumn="1" w:firstRow="1" w:lastColumn="0" w:lastRow="0" w:noHBand="0" w:noVBand="1" w:val="04A0"/>
      </w:tblPr>
      <w:tblGrid>
        <w:gridCol w:w="1872"/>
        <w:gridCol w:w="1872"/>
        <w:gridCol w:w="1872"/>
        <w:gridCol w:w="1872"/>
        <w:gridCol w:w="1872"/>
      </w:tblGrid>
      <w:tr>
        <w:tc>
          <w:tcPr>
            <w:tcW w:type="dxa" w:w="1872"/>
            <w:shd w:fill="0B1F3A"/>
          </w:tcPr>
          <w:p>
            <w:r>
              <w:rPr>
                <w:rFonts w:ascii="Calibri" w:hAnsi="Calibri"/>
                <w:b/>
                <w:color w:val="FFFFFF"/>
                <w:sz w:val="18"/>
              </w:rPr>
              <w:t>Tool Name</w:t>
            </w:r>
          </w:p>
        </w:tc>
        <w:tc>
          <w:tcPr>
            <w:tcW w:type="dxa" w:w="1872"/>
            <w:shd w:fill="0B1F3A"/>
          </w:tcPr>
          <w:p>
            <w:r>
              <w:rPr>
                <w:rFonts w:ascii="Calibri" w:hAnsi="Calibri"/>
                <w:b/>
                <w:color w:val="FFFFFF"/>
                <w:sz w:val="18"/>
              </w:rPr>
              <w:t>Approved Use Cases</w:t>
            </w:r>
          </w:p>
        </w:tc>
        <w:tc>
          <w:tcPr>
            <w:tcW w:type="dxa" w:w="1872"/>
            <w:shd w:fill="0B1F3A"/>
          </w:tcPr>
          <w:p>
            <w:r>
              <w:rPr>
                <w:rFonts w:ascii="Calibri" w:hAnsi="Calibri"/>
                <w:b/>
                <w:color w:val="FFFFFF"/>
                <w:sz w:val="18"/>
              </w:rPr>
              <w:t>Data Classification Limit</w:t>
            </w:r>
          </w:p>
        </w:tc>
        <w:tc>
          <w:tcPr>
            <w:tcW w:type="dxa" w:w="1872"/>
            <w:shd w:fill="0B1F3A"/>
          </w:tcPr>
          <w:p>
            <w:r>
              <w:rPr>
                <w:rFonts w:ascii="Calibri" w:hAnsi="Calibri"/>
                <w:b/>
                <w:color w:val="FFFFFF"/>
                <w:sz w:val="18"/>
              </w:rPr>
              <w:t>Approval Date</w:t>
            </w:r>
          </w:p>
        </w:tc>
        <w:tc>
          <w:tcPr>
            <w:tcW w:type="dxa" w:w="1872"/>
            <w:shd w:fill="0B1F3A"/>
          </w:tcPr>
          <w:p>
            <w:r>
              <w:rPr>
                <w:rFonts w:ascii="Calibri" w:hAnsi="Calibri"/>
                <w:b/>
                <w:color w:val="FFFFFF"/>
                <w:sz w:val="18"/>
              </w:rPr>
              <w:t>Review Date</w:t>
            </w:r>
          </w:p>
        </w:tc>
      </w:tr>
      <w:tr>
        <w:tc>
          <w:tcPr>
            <w:tcW w:type="dxa" w:w="1872"/>
            <w:shd w:fill="E8F0FE"/>
          </w:tcPr>
          <w:p>
            <w:r>
              <w:rPr>
                <w:rFonts w:ascii="Calibri" w:hAnsi="Calibri"/>
                <w:i/>
                <w:color w:val="666666"/>
                <w:sz w:val="18"/>
              </w:rPr>
              <w:t>[e.g., Microsoft Copilot]</w:t>
            </w:r>
          </w:p>
        </w:tc>
        <w:tc>
          <w:tcPr>
            <w:tcW w:type="dxa" w:w="1872"/>
            <w:shd w:fill="E8F0FE"/>
          </w:tcPr>
          <w:p>
            <w:r>
              <w:rPr>
                <w:rFonts w:ascii="Calibri" w:hAnsi="Calibri"/>
                <w:i/>
                <w:color w:val="666666"/>
                <w:sz w:val="18"/>
              </w:rPr>
              <w:t>[Document drafting, email summarization]</w:t>
            </w:r>
          </w:p>
        </w:tc>
        <w:tc>
          <w:tcPr>
            <w:tcW w:type="dxa" w:w="1872"/>
            <w:shd w:fill="E8F0FE"/>
          </w:tcPr>
          <w:p>
            <w:r>
              <w:rPr>
                <w:rFonts w:ascii="Calibri" w:hAnsi="Calibri"/>
                <w:i/>
                <w:color w:val="666666"/>
                <w:sz w:val="18"/>
              </w:rPr>
              <w:t>[Internal]</w:t>
            </w:r>
          </w:p>
        </w:tc>
        <w:tc>
          <w:tcPr>
            <w:tcW w:type="dxa" w:w="1872"/>
            <w:shd w:fill="E8F0FE"/>
          </w:tcPr>
          <w:p>
            <w:r>
              <w:rPr>
                <w:rFonts w:ascii="Calibri" w:hAnsi="Calibri"/>
                <w:i/>
                <w:color w:val="666666"/>
                <w:sz w:val="18"/>
              </w:rPr>
              <w:t>[Date]</w:t>
            </w:r>
          </w:p>
        </w:tc>
        <w:tc>
          <w:tcPr>
            <w:tcW w:type="dxa" w:w="1872"/>
            <w:shd w:fill="E8F0FE"/>
          </w:tcPr>
          <w:p>
            <w:r>
              <w:rPr>
                <w:rFonts w:ascii="Calibri" w:hAnsi="Calibri"/>
                <w:i/>
                <w:color w:val="666666"/>
                <w:sz w:val="18"/>
              </w:rPr>
              <w:t>[Date]</w:t>
            </w:r>
          </w:p>
        </w:tc>
      </w:tr>
      <w:tr>
        <w:tc>
          <w:tcPr>
            <w:tcW w:type="dxa" w:w="1872"/>
          </w:tcPr>
          <w:p>
            <w:r>
              <w:rPr>
                <w:rFonts w:ascii="Calibri" w:hAnsi="Calibri"/>
                <w:i/>
                <w:color w:val="666666"/>
                <w:sz w:val="18"/>
              </w:rPr>
              <w:t>[e.g., GitHub Copilot]</w:t>
            </w:r>
          </w:p>
        </w:tc>
        <w:tc>
          <w:tcPr>
            <w:tcW w:type="dxa" w:w="1872"/>
          </w:tcPr>
          <w:p>
            <w:r>
              <w:rPr>
                <w:rFonts w:ascii="Calibri" w:hAnsi="Calibri"/>
                <w:i/>
                <w:color w:val="666666"/>
                <w:sz w:val="18"/>
              </w:rPr>
              <w:t>[Code assistance — non-production only]</w:t>
            </w:r>
          </w:p>
        </w:tc>
        <w:tc>
          <w:tcPr>
            <w:tcW w:type="dxa" w:w="1872"/>
          </w:tcPr>
          <w:p>
            <w:r>
              <w:rPr>
                <w:rFonts w:ascii="Calibri" w:hAnsi="Calibri"/>
                <w:i/>
                <w:color w:val="666666"/>
                <w:sz w:val="18"/>
              </w:rPr>
              <w:t>[Internal]</w:t>
            </w:r>
          </w:p>
        </w:tc>
        <w:tc>
          <w:tcPr>
            <w:tcW w:type="dxa" w:w="1872"/>
          </w:tcPr>
          <w:p>
            <w:r>
              <w:rPr>
                <w:rFonts w:ascii="Calibri" w:hAnsi="Calibri"/>
                <w:i/>
                <w:color w:val="666666"/>
                <w:sz w:val="18"/>
              </w:rPr>
              <w:t>[Date]</w:t>
            </w:r>
          </w:p>
        </w:tc>
        <w:tc>
          <w:tcPr>
            <w:tcW w:type="dxa" w:w="1872"/>
          </w:tcPr>
          <w:p>
            <w:r>
              <w:rPr>
                <w:rFonts w:ascii="Calibri" w:hAnsi="Calibri"/>
                <w:i/>
                <w:color w:val="666666"/>
                <w:sz w:val="18"/>
              </w:rPr>
              <w:t>[Date]</w:t>
            </w:r>
          </w:p>
        </w:tc>
      </w:tr>
      <w:tr>
        <w:tc>
          <w:tcPr>
            <w:tcW w:type="dxa" w:w="1872"/>
            <w:shd w:fill="E8F0FE"/>
          </w:tcPr>
          <w:p>
            <w:r>
              <w:rPr>
                <w:rFonts w:ascii="Calibri" w:hAnsi="Calibri"/>
                <w:i/>
                <w:color w:val="666666"/>
                <w:sz w:val="18"/>
              </w:rPr>
              <w:t>[e.g., Claude Enterprise]</w:t>
            </w:r>
          </w:p>
        </w:tc>
        <w:tc>
          <w:tcPr>
            <w:tcW w:type="dxa" w:w="1872"/>
            <w:shd w:fill="E8F0FE"/>
          </w:tcPr>
          <w:p>
            <w:r>
              <w:rPr>
                <w:rFonts w:ascii="Calibri" w:hAnsi="Calibri"/>
                <w:i/>
                <w:color w:val="666666"/>
                <w:sz w:val="18"/>
              </w:rPr>
              <w:t>[Research, analysis, content drafting]</w:t>
            </w:r>
          </w:p>
        </w:tc>
        <w:tc>
          <w:tcPr>
            <w:tcW w:type="dxa" w:w="1872"/>
            <w:shd w:fill="E8F0FE"/>
          </w:tcPr>
          <w:p>
            <w:r>
              <w:rPr>
                <w:rFonts w:ascii="Calibri" w:hAnsi="Calibri"/>
                <w:i/>
                <w:color w:val="666666"/>
                <w:sz w:val="18"/>
              </w:rPr>
              <w:t>[Internal]</w:t>
            </w:r>
          </w:p>
        </w:tc>
        <w:tc>
          <w:tcPr>
            <w:tcW w:type="dxa" w:w="1872"/>
            <w:shd w:fill="E8F0FE"/>
          </w:tcPr>
          <w:p>
            <w:r>
              <w:rPr>
                <w:rFonts w:ascii="Calibri" w:hAnsi="Calibri"/>
                <w:i/>
                <w:color w:val="666666"/>
                <w:sz w:val="18"/>
              </w:rPr>
              <w:t>[Date]</w:t>
            </w:r>
          </w:p>
        </w:tc>
        <w:tc>
          <w:tcPr>
            <w:tcW w:type="dxa" w:w="1872"/>
            <w:shd w:fill="E8F0FE"/>
          </w:tcPr>
          <w:p>
            <w:r>
              <w:rPr>
                <w:rFonts w:ascii="Calibri" w:hAnsi="Calibri"/>
                <w:i/>
                <w:color w:val="666666"/>
                <w:sz w:val="18"/>
              </w:rPr>
              <w:t>[Date]</w:t>
            </w:r>
          </w:p>
        </w:tc>
      </w:tr>
    </w:tbl>
    <w:p/>
    <w:p>
      <w:pPr>
        <w:pStyle w:val="Heading2"/>
      </w:pPr>
      <w:r>
        <w:t>5.2 Unapproved and Prohibited Tools</w:t>
      </w:r>
    </w:p>
    <w:p>
      <w:r>
        <w:t>Any AI tool not listed in the Approved AI Tool Registry is considered unapproved. Use of unapproved tools for organizational purposes — including on personal devices used for work — is prohibited. Personnel who identify a business need for an unapproved AI tool must submit a request through the AI Tool Approval process (see Appendix A).</w:t>
      </w:r>
    </w:p>
    <w:p>
      <w:pPr>
        <w:pStyle w:val="Heading2"/>
      </w:pPr>
      <w:r>
        <w:t>5.3 Shadow AI Prevention</w:t>
      </w:r>
    </w:p>
    <w:p>
      <w:r>
        <w:t>The Organization recognizes that unauthorized AI tool adoption ("Shadow AI") represents a significant security and compliance risk. To mitigate this risk, the Organization will: maintain an efficient approval process with a target turnaround of [X business days]; provide approved alternatives that meet common use cases; conduct periodic audits of network traffic and SaaS usage to detect unauthorized AI tools; and educate personnel on the risks of Shadow AI and the proper approval process.</w:t>
      </w:r>
    </w:p>
    <w:p>
      <w:pPr>
        <w:pStyle w:val="Heading1"/>
        <w:pBdr>
          <w:bottom w:val="single" w:sz="6" w:space="1" w:color="1E6BB8"/>
        </w:pBdr>
      </w:pPr>
      <w:r>
        <w:t>6. Acceptable Uses of AI</w:t>
      </w:r>
    </w:p>
    <w:p>
      <w:r>
        <w:t>The following uses of approved AI tools are permitted, subject to the data handling requirements defined in Section 8 and the security requirements in Section 10:</w:t>
      </w:r>
    </w:p>
    <w:p>
      <w:pPr>
        <w:pStyle w:val="Heading2"/>
      </w:pPr>
      <w:r>
        <w:t>6.1 Content Drafting and Editing</w:t>
      </w:r>
    </w:p>
    <w:p>
      <w:r>
        <w:t>Using AI to assist with drafting, editing, summarizing, or reformatting internal documents, communications, presentations, and reports. All AI-generated content intended for external distribution or official use must be reviewed, verified, and approved by a qualified human before distribution.</w:t>
      </w:r>
    </w:p>
    <w:p>
      <w:pPr>
        <w:pStyle w:val="Heading2"/>
      </w:pPr>
      <w:r>
        <w:t>6.2 Research and Analysis</w:t>
      </w:r>
    </w:p>
    <w:p>
      <w:r>
        <w:t>Using AI to accelerate research, synthesize information from approved data sources, generate preliminary analysis, and identify patterns or trends. AI-generated research outputs must be validated against primary sources before being relied upon for business decisions.</w:t>
      </w:r>
    </w:p>
    <w:p>
      <w:pPr>
        <w:pStyle w:val="Heading2"/>
      </w:pPr>
      <w:r>
        <w:t>6.3 Code Development Assistance</w:t>
      </w:r>
    </w:p>
    <w:p>
      <w:r>
        <w:t>Using AI-powered coding assistants to generate boilerplate code, suggest code completions, identify bugs, explain code functionality, and assist with documentation. All AI-generated code must undergo the Organization's standard code review process before deployment to any production environment. AI-generated code must not be deployed directly without human review.</w:t>
      </w:r>
    </w:p>
    <w:p>
      <w:pPr>
        <w:pStyle w:val="Heading2"/>
      </w:pPr>
      <w:r>
        <w:t>6.4 Process Automation</w:t>
      </w:r>
    </w:p>
    <w:p>
      <w:r>
        <w:t>Using AI to automate repetitive tasks, streamline workflows, and improve operational efficiency — provided the automation has been reviewed for accuracy, bias, and security implications, and appropriate human oversight mechanisms are in place.</w:t>
      </w:r>
    </w:p>
    <w:p>
      <w:pPr>
        <w:pStyle w:val="Heading2"/>
      </w:pPr>
      <w:r>
        <w:t>6.5 Learning and Professional Development</w:t>
      </w:r>
    </w:p>
    <w:p>
      <w:r>
        <w:t>Using AI tools as a learning resource for professional development, skill building, and exploring new concepts — provided no sensitive organizational data is shared with the AI tool during the learning process.</w:t>
      </w:r>
    </w:p>
    <w:p>
      <w:pPr>
        <w:pStyle w:val="Heading2"/>
      </w:pPr>
      <w:r>
        <w:t>6.6 Customer-Facing AI Applications</w:t>
      </w:r>
    </w:p>
    <w:p>
      <w:r>
        <w:t>[If applicable.] Deploying AI-powered tools in customer-facing contexts (e.g., chatbots, recommendation engines) only after formal review and approval by [AI Governance Committee / CISO / Legal], and only with appropriate disclosures to customers that they are interacting with AI.</w:t>
      </w:r>
    </w:p>
    <w:p>
      <w:pPr>
        <w:pStyle w:val="Heading1"/>
        <w:pBdr>
          <w:bottom w:val="single" w:sz="6" w:space="1" w:color="1E6BB8"/>
        </w:pBdr>
      </w:pPr>
      <w:r>
        <w:t>7. Prohibited Uses of AI</w:t>
      </w:r>
    </w:p>
    <w:p>
      <w:r>
        <w:t>The following uses of AI are strictly prohibited, regardless of the tool's approval status. Violations may result in disciplinary action up to and including termination (see Section 19).</w:t>
      </w:r>
    </w:p>
    <w:p>
      <w:pPr>
        <w:pStyle w:val="Heading2"/>
      </w:pPr>
      <w:r>
        <w:t>7.1 Inputting Restricted or Confidential Data</w:t>
      </w:r>
    </w:p>
    <w:p>
      <w:r>
        <w:t>Personnel must never input, upload, or otherwise share the following categories of information with any AI tool unless the tool has been explicitly approved for that data classification level:</w:t>
      </w:r>
    </w:p>
    <w:p>
      <w:pPr>
        <w:pStyle w:val="ListBullet"/>
      </w:pPr>
      <w:r>
        <w:rPr>
          <w:rFonts w:ascii="Calibri" w:hAnsi="Calibri"/>
          <w:sz w:val="22"/>
        </w:rPr>
        <w:t>Protected Health Information (PHI) as defined under HIPAA.</w:t>
      </w:r>
    </w:p>
    <w:p>
      <w:pPr>
        <w:pStyle w:val="ListBullet"/>
      </w:pPr>
      <w:r>
        <w:rPr>
          <w:rFonts w:ascii="Calibri" w:hAnsi="Calibri"/>
          <w:sz w:val="22"/>
        </w:rPr>
        <w:t>Personally Identifiable Information (PII) including Social Security numbers, financial account numbers, biometric data, or other regulated personal data.</w:t>
      </w:r>
    </w:p>
    <w:p>
      <w:pPr>
        <w:pStyle w:val="ListBullet"/>
      </w:pPr>
      <w:r>
        <w:rPr>
          <w:rFonts w:ascii="Calibri" w:hAnsi="Calibri"/>
          <w:sz w:val="22"/>
        </w:rPr>
        <w:t>Payment Card Industry (PCI) data, including cardholder data and sensitive authentication data.</w:t>
      </w:r>
    </w:p>
    <w:p>
      <w:pPr>
        <w:pStyle w:val="ListBullet"/>
      </w:pPr>
      <w:r>
        <w:rPr>
          <w:rFonts w:ascii="Calibri" w:hAnsi="Calibri"/>
          <w:sz w:val="22"/>
        </w:rPr>
        <w:t>Trade secrets, proprietary algorithms, unpublished intellectual property, or confidential business strategies.</w:t>
      </w:r>
    </w:p>
    <w:p>
      <w:pPr>
        <w:pStyle w:val="ListBullet"/>
      </w:pPr>
      <w:r>
        <w:rPr>
          <w:rFonts w:ascii="Calibri" w:hAnsi="Calibri"/>
          <w:sz w:val="22"/>
        </w:rPr>
        <w:t>Credentials, passwords, API keys, encryption keys, or other authentication secrets.</w:t>
      </w:r>
    </w:p>
    <w:p>
      <w:pPr>
        <w:pStyle w:val="ListBullet"/>
      </w:pPr>
      <w:r>
        <w:rPr>
          <w:rFonts w:ascii="Calibri" w:hAnsi="Calibri"/>
          <w:sz w:val="22"/>
        </w:rPr>
        <w:t>Attorney-client privileged communications.</w:t>
      </w:r>
    </w:p>
    <w:p>
      <w:pPr>
        <w:pStyle w:val="ListBullet"/>
      </w:pPr>
      <w:r>
        <w:rPr>
          <w:rFonts w:ascii="Calibri" w:hAnsi="Calibri"/>
          <w:sz w:val="22"/>
        </w:rPr>
        <w:t>Classified or export-controlled information.</w:t>
      </w:r>
    </w:p>
    <w:p>
      <w:pPr>
        <w:pStyle w:val="ListBullet"/>
      </w:pPr>
      <w:r>
        <w:rPr>
          <w:rFonts w:ascii="Calibri" w:hAnsi="Calibri"/>
          <w:sz w:val="22"/>
        </w:rPr>
        <w:t>Customer data subject to contractual non-disclosure or data processing agreements.</w:t>
      </w:r>
    </w:p>
    <w:p>
      <w:pPr>
        <w:pStyle w:val="ListBullet"/>
      </w:pPr>
      <w:r>
        <w:rPr>
          <w:rFonts w:ascii="Calibri" w:hAnsi="Calibri"/>
          <w:sz w:val="22"/>
        </w:rPr>
        <w:t>Non-public financial information, merger/acquisition details, or material non-public information (MNPI).</w:t>
      </w:r>
    </w:p>
    <w:p>
      <w:pPr>
        <w:pStyle w:val="Heading2"/>
      </w:pPr>
      <w:r>
        <w:t>7.2 Autonomous Decision-Making in High-Risk Domains</w:t>
      </w:r>
    </w:p>
    <w:p>
      <w:r>
        <w:t>AI systems must not be used as the sole basis for decisions that have significant legal, financial, safety, or rights-related consequences for individuals or the Organization, including but not limited to: employment decisions (hiring, termination, promotion, compensation); credit, lending, or insurance decisions; legal judgments or regulatory compliance determinations; medical diagnoses or treatment decisions; safety-critical system controls; and law enforcement or surveillance actions. These decision domains require human-in-the-loop oversight at a minimum.</w:t>
      </w:r>
    </w:p>
    <w:p>
      <w:pPr>
        <w:pStyle w:val="Heading2"/>
      </w:pPr>
      <w:r>
        <w:t>7.3 Misrepresentation of AI Output</w:t>
      </w:r>
    </w:p>
    <w:p>
      <w:r>
        <w:t>Personnel must not represent AI-generated work as entirely their own original work in contexts where such attribution would be deceptive or violate professional standards, academic integrity policies, or contractual obligations. When required by context, the use of AI assistance should be disclosed.</w:t>
      </w:r>
    </w:p>
    <w:p>
      <w:pPr>
        <w:pStyle w:val="Heading2"/>
      </w:pPr>
      <w:r>
        <w:t>7.4 Circumventing Security Controls</w:t>
      </w:r>
    </w:p>
    <w:p>
      <w:r>
        <w:t>Using AI to bypass, disable, or circumvent any organizational security controls, access controls, content filters, DLP systems, or monitoring mechanisms is strictly prohibited. This includes using AI to craft phishing messages, generate exploit code, identify system vulnerabilities for unauthorized purposes, or evade detection systems.</w:t>
      </w:r>
    </w:p>
    <w:p>
      <w:pPr>
        <w:pStyle w:val="Heading2"/>
      </w:pPr>
      <w:r>
        <w:t>7.5 Creating Harmful or Deceptive Content</w:t>
      </w:r>
    </w:p>
    <w:p>
      <w:r>
        <w:t>Using AI to generate deepfakes, disinformation, fraudulent documents, impersonation content, or any material intended to deceive, manipulate, harass, discriminate against, or harm individuals or groups is strictly prohibited.</w:t>
      </w:r>
    </w:p>
    <w:p>
      <w:pPr>
        <w:pStyle w:val="Heading2"/>
      </w:pPr>
      <w:r>
        <w:t>7.6 Unauthorized Training or Fine-Tuning</w:t>
      </w:r>
    </w:p>
    <w:p>
      <w:r>
        <w:t>Personnel must not use organizational data to train, fine-tune, or otherwise improve external AI models without explicit written authorization from the Policy Owner. Personnel must verify that AI tool settings are configured to prevent the use of input data for model training unless explicitly approved.</w:t>
      </w:r>
    </w:p>
    <w:p>
      <w:pPr>
        <w:pStyle w:val="Heading2"/>
      </w:pPr>
      <w:r>
        <w:t>7.7 Using AI for Unauthorized Surveillance</w:t>
      </w:r>
    </w:p>
    <w:p>
      <w:r>
        <w:t>Using AI tools to monitor, track, profile, or surveil employees, customers, or any individuals without proper legal authority, organizational authorization, and required notifications or consent is strictly prohibited.</w:t>
      </w:r>
    </w:p>
    <w:p>
      <w:pPr>
        <w:pStyle w:val="Heading1"/>
        <w:pBdr>
          <w:bottom w:val="single" w:sz="6" w:space="1" w:color="1E6BB8"/>
        </w:pBdr>
      </w:pPr>
      <w:r>
        <w:t>8. Data Classification and AI Usage Requirements</w:t>
      </w:r>
    </w:p>
    <w:p>
      <w:r>
        <w:t>All data used with AI tools must be handled in accordance with the Organization's data classification policy. The following matrix defines the minimum requirements for AI tool usage at each classification level:</w:t>
      </w:r>
    </w:p>
    <w:tbl>
      <w:tblPr>
        <w:tblW w:type="auto" w:w="0"/>
        <w:jc w:val="center"/>
        <w:tblLook w:firstColumn="1" w:firstRow="1" w:lastColumn="0" w:lastRow="0" w:noHBand="0" w:noVBand="1" w:val="04A0"/>
      </w:tblPr>
      <w:tblGrid>
        <w:gridCol w:w="2340"/>
        <w:gridCol w:w="2340"/>
        <w:gridCol w:w="2340"/>
        <w:gridCol w:w="2340"/>
      </w:tblGrid>
      <w:tr>
        <w:tc>
          <w:tcPr>
            <w:tcW w:type="dxa" w:w="2340"/>
            <w:shd w:fill="0B1F3A"/>
          </w:tcPr>
          <w:p>
            <w:r>
              <w:rPr>
                <w:rFonts w:ascii="Calibri" w:hAnsi="Calibri"/>
                <w:b/>
                <w:color w:val="FFFFFF"/>
                <w:sz w:val="18"/>
              </w:rPr>
              <w:t>Classification Level</w:t>
            </w:r>
          </w:p>
        </w:tc>
        <w:tc>
          <w:tcPr>
            <w:tcW w:type="dxa" w:w="2340"/>
            <w:shd w:fill="0B1F3A"/>
          </w:tcPr>
          <w:p>
            <w:r>
              <w:rPr>
                <w:rFonts w:ascii="Calibri" w:hAnsi="Calibri"/>
                <w:b/>
                <w:color w:val="FFFFFF"/>
                <w:sz w:val="18"/>
              </w:rPr>
              <w:t>AI Tool Requirement</w:t>
            </w:r>
          </w:p>
        </w:tc>
        <w:tc>
          <w:tcPr>
            <w:tcW w:type="dxa" w:w="2340"/>
            <w:shd w:fill="0B1F3A"/>
          </w:tcPr>
          <w:p>
            <w:r>
              <w:rPr>
                <w:rFonts w:ascii="Calibri" w:hAnsi="Calibri"/>
                <w:b/>
                <w:color w:val="FFFFFF"/>
                <w:sz w:val="18"/>
              </w:rPr>
              <w:t>Approval Required</w:t>
            </w:r>
          </w:p>
        </w:tc>
        <w:tc>
          <w:tcPr>
            <w:tcW w:type="dxa" w:w="2340"/>
            <w:shd w:fill="0B1F3A"/>
          </w:tcPr>
          <w:p>
            <w:r>
              <w:rPr>
                <w:rFonts w:ascii="Calibri" w:hAnsi="Calibri"/>
                <w:b/>
                <w:color w:val="FFFFFF"/>
                <w:sz w:val="18"/>
              </w:rPr>
              <w:t>Additional Controls</w:t>
            </w:r>
          </w:p>
        </w:tc>
      </w:tr>
      <w:tr>
        <w:tc>
          <w:tcPr>
            <w:tcW w:type="dxa" w:w="2340"/>
            <w:shd w:fill="E8F0FE"/>
          </w:tcPr>
          <w:p>
            <w:r>
              <w:rPr>
                <w:rFonts w:ascii="Calibri" w:hAnsi="Calibri"/>
                <w:color w:val="333333"/>
                <w:sz w:val="18"/>
              </w:rPr>
              <w:t>Public</w:t>
            </w:r>
          </w:p>
        </w:tc>
        <w:tc>
          <w:tcPr>
            <w:tcW w:type="dxa" w:w="2340"/>
            <w:shd w:fill="E8F0FE"/>
          </w:tcPr>
          <w:p>
            <w:r>
              <w:rPr>
                <w:rFonts w:ascii="Calibri" w:hAnsi="Calibri"/>
                <w:color w:val="333333"/>
                <w:sz w:val="18"/>
              </w:rPr>
              <w:t>Any approved tool</w:t>
            </w:r>
          </w:p>
        </w:tc>
        <w:tc>
          <w:tcPr>
            <w:tcW w:type="dxa" w:w="2340"/>
            <w:shd w:fill="E8F0FE"/>
          </w:tcPr>
          <w:p>
            <w:r>
              <w:rPr>
                <w:rFonts w:ascii="Calibri" w:hAnsi="Calibri"/>
                <w:color w:val="333333"/>
                <w:sz w:val="18"/>
              </w:rPr>
              <w:t>No</w:t>
            </w:r>
          </w:p>
        </w:tc>
        <w:tc>
          <w:tcPr>
            <w:tcW w:type="dxa" w:w="2340"/>
            <w:shd w:fill="E8F0FE"/>
          </w:tcPr>
          <w:p>
            <w:r>
              <w:rPr>
                <w:rFonts w:ascii="Calibri" w:hAnsi="Calibri"/>
                <w:color w:val="333333"/>
                <w:sz w:val="18"/>
              </w:rPr>
              <w:t>Standard usage guidelines</w:t>
            </w:r>
          </w:p>
        </w:tc>
      </w:tr>
      <w:tr>
        <w:tc>
          <w:tcPr>
            <w:tcW w:type="dxa" w:w="2340"/>
          </w:tcPr>
          <w:p>
            <w:r>
              <w:rPr>
                <w:rFonts w:ascii="Calibri" w:hAnsi="Calibri"/>
                <w:color w:val="333333"/>
                <w:sz w:val="18"/>
              </w:rPr>
              <w:t>Internal</w:t>
            </w:r>
          </w:p>
        </w:tc>
        <w:tc>
          <w:tcPr>
            <w:tcW w:type="dxa" w:w="2340"/>
          </w:tcPr>
          <w:p>
            <w:r>
              <w:rPr>
                <w:rFonts w:ascii="Calibri" w:hAnsi="Calibri"/>
                <w:color w:val="333333"/>
                <w:sz w:val="18"/>
              </w:rPr>
              <w:t>Approved tools with enterprise agreements</w:t>
            </w:r>
          </w:p>
        </w:tc>
        <w:tc>
          <w:tcPr>
            <w:tcW w:type="dxa" w:w="2340"/>
          </w:tcPr>
          <w:p>
            <w:r>
              <w:rPr>
                <w:rFonts w:ascii="Calibri" w:hAnsi="Calibri"/>
                <w:color w:val="333333"/>
                <w:sz w:val="18"/>
              </w:rPr>
              <w:t>No</w:t>
            </w:r>
          </w:p>
        </w:tc>
        <w:tc>
          <w:tcPr>
            <w:tcW w:type="dxa" w:w="2340"/>
          </w:tcPr>
          <w:p>
            <w:r>
              <w:rPr>
                <w:rFonts w:ascii="Calibri" w:hAnsi="Calibri"/>
                <w:color w:val="333333"/>
                <w:sz w:val="18"/>
              </w:rPr>
              <w:t>No training on input data; audit logging</w:t>
            </w:r>
          </w:p>
        </w:tc>
      </w:tr>
      <w:tr>
        <w:tc>
          <w:tcPr>
            <w:tcW w:type="dxa" w:w="2340"/>
            <w:shd w:fill="E8F0FE"/>
          </w:tcPr>
          <w:p>
            <w:r>
              <w:rPr>
                <w:rFonts w:ascii="Calibri" w:hAnsi="Calibri"/>
                <w:color w:val="333333"/>
                <w:sz w:val="18"/>
              </w:rPr>
              <w:t>Confidential</w:t>
            </w:r>
          </w:p>
        </w:tc>
        <w:tc>
          <w:tcPr>
            <w:tcW w:type="dxa" w:w="2340"/>
            <w:shd w:fill="E8F0FE"/>
          </w:tcPr>
          <w:p>
            <w:r>
              <w:rPr>
                <w:rFonts w:ascii="Calibri" w:hAnsi="Calibri"/>
                <w:color w:val="333333"/>
                <w:sz w:val="18"/>
              </w:rPr>
              <w:t>Approved tools with enterprise agreements + DPA</w:t>
            </w:r>
          </w:p>
        </w:tc>
        <w:tc>
          <w:tcPr>
            <w:tcW w:type="dxa" w:w="2340"/>
            <w:shd w:fill="E8F0FE"/>
          </w:tcPr>
          <w:p>
            <w:r>
              <w:rPr>
                <w:rFonts w:ascii="Calibri" w:hAnsi="Calibri"/>
                <w:color w:val="333333"/>
                <w:sz w:val="18"/>
              </w:rPr>
              <w:t>Manager + IT Security</w:t>
            </w:r>
          </w:p>
        </w:tc>
        <w:tc>
          <w:tcPr>
            <w:tcW w:type="dxa" w:w="2340"/>
            <w:shd w:fill="E8F0FE"/>
          </w:tcPr>
          <w:p>
            <w:r>
              <w:rPr>
                <w:rFonts w:ascii="Calibri" w:hAnsi="Calibri"/>
                <w:color w:val="333333"/>
                <w:sz w:val="18"/>
              </w:rPr>
              <w:t>Encryption in transit; data minimization; no persistent storage by AI vendor</w:t>
            </w:r>
          </w:p>
        </w:tc>
      </w:tr>
      <w:tr>
        <w:tc>
          <w:tcPr>
            <w:tcW w:type="dxa" w:w="2340"/>
          </w:tcPr>
          <w:p>
            <w:r>
              <w:rPr>
                <w:rFonts w:ascii="Calibri" w:hAnsi="Calibri"/>
                <w:color w:val="333333"/>
                <w:sz w:val="18"/>
              </w:rPr>
              <w:t>Restricted</w:t>
            </w:r>
          </w:p>
        </w:tc>
        <w:tc>
          <w:tcPr>
            <w:tcW w:type="dxa" w:w="2340"/>
          </w:tcPr>
          <w:p>
            <w:r>
              <w:rPr>
                <w:rFonts w:ascii="Calibri" w:hAnsi="Calibri"/>
                <w:color w:val="333333"/>
                <w:sz w:val="18"/>
              </w:rPr>
              <w:t>Prohibited in most AI tools</w:t>
            </w:r>
          </w:p>
        </w:tc>
        <w:tc>
          <w:tcPr>
            <w:tcW w:type="dxa" w:w="2340"/>
          </w:tcPr>
          <w:p>
            <w:r>
              <w:rPr>
                <w:rFonts w:ascii="Calibri" w:hAnsi="Calibri"/>
                <w:color w:val="333333"/>
                <w:sz w:val="18"/>
              </w:rPr>
              <w:t>CISO + Legal</w:t>
            </w:r>
          </w:p>
        </w:tc>
        <w:tc>
          <w:tcPr>
            <w:tcW w:type="dxa" w:w="2340"/>
          </w:tcPr>
          <w:p>
            <w:r>
              <w:rPr>
                <w:rFonts w:ascii="Calibri" w:hAnsi="Calibri"/>
                <w:color w:val="333333"/>
                <w:sz w:val="18"/>
              </w:rPr>
              <w:t>On-premise or private-instance AI only; full audit trail; DLP controls required</w:t>
            </w:r>
          </w:p>
        </w:tc>
      </w:tr>
    </w:tbl>
    <w:p/>
    <w:p>
      <w:r>
        <w:t>When in doubt about the classification level of data, personnel must treat it at the highest applicable classification level and consult with their manager or the Information Security team before using it with any AI tool.</w:t>
      </w:r>
    </w:p>
    <w:p>
      <w:pPr>
        <w:pStyle w:val="Heading1"/>
        <w:pBdr>
          <w:bottom w:val="single" w:sz="6" w:space="1" w:color="1E6BB8"/>
        </w:pBdr>
      </w:pPr>
      <w:r>
        <w:t>9. Privacy and Confidentiality</w:t>
      </w:r>
    </w:p>
    <w:p>
      <w:pPr>
        <w:pStyle w:val="Heading2"/>
      </w:pPr>
      <w:r>
        <w:t>9.1 Data Minimization</w:t>
      </w:r>
    </w:p>
    <w:p>
      <w:r>
        <w:t>Personnel must apply the principle of data minimization when using AI tools. Only the minimum amount of data necessary to accomplish the task should be provided to an AI system. Before submitting any data to an AI tool, personnel should: remove or redact personally identifiable information where possible; anonymize or pseudonymize data sets; use synthetic or sample data for testing and experimentation; and avoid pasting entire documents when a summary or excerpt would suffice.</w:t>
      </w:r>
    </w:p>
    <w:p>
      <w:pPr>
        <w:pStyle w:val="Heading2"/>
      </w:pPr>
      <w:r>
        <w:t>9.2 Privacy Impact Assessment</w:t>
      </w:r>
    </w:p>
    <w:p>
      <w:r>
        <w:t>Any new AI tool deployment that processes personal data must undergo a Privacy Impact Assessment (PIA) prior to deployment. The PIA must evaluate: what personal data will be processed; the legal basis for processing; data retention and deletion capabilities; cross-border data transfer implications; data subject rights (access, deletion, portability); and third-party data sharing or subprocessor arrangements.</w:t>
      </w:r>
    </w:p>
    <w:p>
      <w:pPr>
        <w:pStyle w:val="Heading2"/>
      </w:pPr>
      <w:r>
        <w:t>9.3 Regulatory Compliance</w:t>
      </w:r>
    </w:p>
    <w:p>
      <w:r>
        <w:t>AI usage must comply with all applicable data privacy regulations, including but not limited to: [HIPAA, CCPA/CPRA, GDPR, state-specific privacy laws — customize to your regulatory obligations]. Personnel with questions about the privacy implications of a specific AI use case should consult with the [Legal / Privacy / Compliance] team before proceeding.</w:t>
      </w:r>
    </w:p>
    <w:p>
      <w:pPr>
        <w:pStyle w:val="Heading1"/>
        <w:pBdr>
          <w:bottom w:val="single" w:sz="6" w:space="1" w:color="1E6BB8"/>
        </w:pBdr>
      </w:pPr>
      <w:r>
        <w:t>10. Security Requirements</w:t>
      </w:r>
    </w:p>
    <w:p>
      <w:pPr>
        <w:pStyle w:val="Heading2"/>
      </w:pPr>
      <w:r>
        <w:t>10.1 Authentication and Access Control</w:t>
      </w:r>
    </w:p>
    <w:p>
      <w:r>
        <w:t>All AI tools must be accessed using organizational credentials with multi-factor authentication (MFA) enabled. Shared accounts or shared API keys for AI services are prohibited. Access to AI tools must follow the principle of least privilege, and access must be revoked promptly upon role change or separation.</w:t>
      </w:r>
    </w:p>
    <w:p>
      <w:pPr>
        <w:pStyle w:val="Heading2"/>
      </w:pPr>
      <w:r>
        <w:t>10.2 Data Protection in Transit and at Rest</w:t>
      </w:r>
    </w:p>
    <w:p>
      <w:r>
        <w:t>All data transmitted to or from AI services must be encrypted in transit using TLS 1.2 or higher. Where AI tools store data at rest, encryption at rest must be confirmed as part of the tool approval process. Personnel must verify that approved AI tools are configured to not retain, store, or use input data for model training purposes, unless explicitly authorized.</w:t>
      </w:r>
    </w:p>
    <w:p>
      <w:pPr>
        <w:pStyle w:val="Heading2"/>
      </w:pPr>
      <w:r>
        <w:t>10.3 API Security</w:t>
      </w:r>
    </w:p>
    <w:p>
      <w:r>
        <w:t>AI tool API keys and access tokens must be managed through the Organization's secrets management system (e.g., [HashiCorp Vault, AWS Secrets Manager — customize]). API keys must never be hardcoded in source code, stored in plaintext configuration files, shared via email or messaging platforms, or committed to version control repositories.</w:t>
      </w:r>
    </w:p>
    <w:p>
      <w:pPr>
        <w:pStyle w:val="Heading2"/>
      </w:pPr>
      <w:r>
        <w:t>10.4 Network Security</w:t>
      </w:r>
    </w:p>
    <w:p>
      <w:r>
        <w:t>Access to AI tools from organizational networks must be routed through approved network paths with appropriate logging and monitoring. [If applicable: AI tool access may be restricted to specific network segments, VPN connections, or managed devices based on the data classification level being processed.]</w:t>
      </w:r>
    </w:p>
    <w:p>
      <w:pPr>
        <w:pStyle w:val="Heading2"/>
      </w:pPr>
      <w:r>
        <w:t>10.5 Endpoint Security</w:t>
      </w:r>
    </w:p>
    <w:p>
      <w:r>
        <w:t>AI tools that require local installation (e.g., IDE plugins, desktop applications) must be vetted and approved by IT Security before deployment. Such tools must be compatible with the Organization's endpoint detection and response (EDR) solution and must not require disabling any existing security controls.</w:t>
      </w:r>
    </w:p>
    <w:p>
      <w:pPr>
        <w:pStyle w:val="Heading1"/>
        <w:pBdr>
          <w:bottom w:val="single" w:sz="6" w:space="1" w:color="1E6BB8"/>
        </w:pBdr>
      </w:pPr>
      <w:r>
        <w:t>11. Intellectual Property and Output Ownership</w:t>
      </w:r>
    </w:p>
    <w:p>
      <w:pPr>
        <w:pStyle w:val="Heading2"/>
      </w:pPr>
      <w:r>
        <w:t>11.1 Ownership of AI Outputs</w:t>
      </w:r>
    </w:p>
    <w:p>
      <w:r>
        <w:t>AI-generated outputs created in the course of employment or using organizational resources are considered work product of the Organization, subject to the terms of each employee's employment agreement and applicable intellectual property policies. Personnel should be aware that the intellectual property status of AI-generated content remains an evolving area of law, and the Organization will provide updated guidance as legal standards develop.</w:t>
      </w:r>
    </w:p>
    <w:p>
      <w:pPr>
        <w:pStyle w:val="Heading2"/>
      </w:pPr>
      <w:r>
        <w:t>11.2 Third-Party IP Protection</w:t>
      </w:r>
    </w:p>
    <w:p>
      <w:r>
        <w:t>Personnel must not input third-party copyrighted material, trade secrets, or proprietary information into AI tools without proper authorization. AI outputs must be reviewed for potential intellectual property infringement before use. AI-generated content used in public-facing materials, products, or client deliverables requires additional review by [Legal / Compliance] for IP risk.</w:t>
      </w:r>
    </w:p>
    <w:p>
      <w:pPr>
        <w:pStyle w:val="Heading2"/>
      </w:pPr>
      <w:r>
        <w:t>11.3 Open Source and Licensing Considerations</w:t>
      </w:r>
    </w:p>
    <w:p>
      <w:r>
        <w:t>AI-generated code may inadvertently reproduce open source code subject to various licenses. All AI-generated code must be scanned for license compliance using the Organization's approved software composition analysis (SCA) tools before incorporation into any product or project.</w:t>
      </w:r>
    </w:p>
    <w:p>
      <w:pPr>
        <w:pStyle w:val="Heading1"/>
        <w:pBdr>
          <w:bottom w:val="single" w:sz="6" w:space="1" w:color="1E6BB8"/>
        </w:pBdr>
      </w:pPr>
      <w:r>
        <w:t>12. Accuracy, Bias, and Human Oversight</w:t>
      </w:r>
    </w:p>
    <w:p>
      <w:pPr>
        <w:pStyle w:val="Heading2"/>
      </w:pPr>
      <w:r>
        <w:t>12.1 Output Verification</w:t>
      </w:r>
    </w:p>
    <w:p>
      <w:r>
        <w:t>All AI-generated outputs must be treated as draft content requiring human verification. Personnel are responsible for validating the accuracy, completeness, and appropriateness of AI outputs before relying on them for business decisions, sharing them externally, or incorporating them into deliverables. AI outputs must never be presented as verified facts without independent confirmation.</w:t>
      </w:r>
    </w:p>
    <w:p>
      <w:pPr>
        <w:pStyle w:val="Heading2"/>
      </w:pPr>
      <w:r>
        <w:t>12.2 Bias Awareness and Mitigation</w:t>
      </w:r>
    </w:p>
    <w:p>
      <w:r>
        <w:t>Personnel must be aware that AI systems can perpetuate and amplify biases present in their training data. When using AI outputs that involve or affect people — including recruitment, performance evaluation, customer segmentation, risk scoring, or content generation — personnel must critically evaluate outputs for potential bias related to race, gender, age, disability, national origin, religion, or other protected characteristics. Any suspected bias in AI outputs must be reported through the incident reporting process (Section 16).</w:t>
      </w:r>
    </w:p>
    <w:p>
      <w:pPr>
        <w:pStyle w:val="Heading2"/>
      </w:pPr>
      <w:r>
        <w:t>12.3 Human-in-the-Loop Requirements</w:t>
      </w:r>
    </w:p>
    <w:p>
      <w:r>
        <w:t>The Organization requires human-in-the-loop oversight for any AI application that: makes or influences decisions affecting individuals' rights, opportunities, or access to services; generates content for external publication or customer-facing distribution; produces outputs that will be incorporated into regulatory submissions or legal documents; controls or influences safety-critical systems; or processes data classified as Confidential or Restricted. The level of human oversight required should be proportionate to the risk and impact of the AI application.</w:t>
      </w:r>
    </w:p>
    <w:p>
      <w:pPr>
        <w:pStyle w:val="Heading1"/>
        <w:pBdr>
          <w:bottom w:val="single" w:sz="6" w:space="1" w:color="1E6BB8"/>
        </w:pBdr>
      </w:pPr>
      <w:r>
        <w:t>13. Third-Party AI Services and Procurement</w:t>
      </w:r>
    </w:p>
    <w:p>
      <w:pPr>
        <w:pStyle w:val="Heading2"/>
      </w:pPr>
      <w:r>
        <w:t>13.1 Vendor Assessment Requirements</w:t>
      </w:r>
    </w:p>
    <w:p>
      <w:r>
        <w:t>All third-party AI tools and services must undergo a vendor security assessment before procurement or deployment. The assessment must evaluate the vendor's: data handling and retention practices; training data policies (specifically whether customer inputs are used for model training); security certifications and compliance posture (e.g., SOC 2 Type II, ISO 27001); data residency and cross-border transfer practices; incident response and breach notification capabilities; subprocessor arrangements; and contractual termination and data deletion provisions.</w:t>
      </w:r>
    </w:p>
    <w:p>
      <w:pPr>
        <w:pStyle w:val="Heading2"/>
      </w:pPr>
      <w:r>
        <w:t>13.2 Contractual Requirements</w:t>
      </w:r>
    </w:p>
    <w:p>
      <w:r>
        <w:t>Contracts with AI service providers must include, at minimum: a Data Processing Agreement (DPA) with clear data handling obligations; explicit prohibition on using organizational data for model training without written consent; defined data retention periods and deletion procedures; breach notification timelines aligned with regulatory requirements; audit rights or access to compliance reports; indemnification provisions for data breaches and IP infringement; and clear data portability and exit provisions.</w:t>
      </w:r>
    </w:p>
    <w:p>
      <w:pPr>
        <w:pStyle w:val="Heading2"/>
      </w:pPr>
      <w:r>
        <w:t>13.3 Ongoing Vendor Monitoring</w:t>
      </w:r>
    </w:p>
    <w:p>
      <w:r>
        <w:t>Approved AI vendors must be reviewed on at least an annual basis to ensure continued compliance with organizational and regulatory requirements. Changes to vendor terms of service, privacy policies, or data handling practices must be reviewed by [IT Security / Legal] for any impact on the Organization's risk posture.</w:t>
      </w:r>
    </w:p>
    <w:p>
      <w:pPr>
        <w:pStyle w:val="Heading1"/>
        <w:pBdr>
          <w:bottom w:val="single" w:sz="6" w:space="1" w:color="1E6BB8"/>
        </w:pBdr>
      </w:pPr>
      <w:r>
        <w:t>14. Compliance and Regulatory Considerations</w:t>
      </w:r>
    </w:p>
    <w:p>
      <w:r>
        <w:t>AI usage must comply with all applicable laws, regulations, and industry standards. The following regulatory frameworks are particularly relevant to the Organization's AI usage [customize this list to reflect your regulatory environment]:</w:t>
      </w:r>
    </w:p>
    <w:p>
      <w:pPr>
        <w:pStyle w:val="Heading3"/>
      </w:pPr>
      <w:r>
        <w:t>EU AI Act</w:t>
      </w:r>
    </w:p>
    <w:p>
      <w:r>
        <w:t>Regulates AI systems based on risk classification. Organizations deploying AI in EU markets must assess and comply with applicable requirements based on the risk tier of their AI use case.</w:t>
      </w:r>
    </w:p>
    <w:p>
      <w:pPr>
        <w:pStyle w:val="Heading3"/>
      </w:pPr>
      <w:r>
        <w:t>Colorado AI Act (SB 24-205)</w:t>
      </w:r>
    </w:p>
    <w:p>
      <w:r>
        <w:t>Requires developers and deployers of high-risk AI systems to use reasonable care to avoid algorithmic discrimination, with specific transparency and disclosure obligations effective February 2026.</w:t>
      </w:r>
    </w:p>
    <w:p>
      <w:pPr>
        <w:pStyle w:val="Heading3"/>
      </w:pPr>
      <w:r>
        <w:t>NIST AI Risk Management Framework (AI RMF)</w:t>
      </w:r>
    </w:p>
    <w:p>
      <w:r>
        <w:t>Provides voluntary guidance for managing AI risks. The Organization should map AI governance practices to the AI RMF's Govern, Map, Measure, and Manage functions.</w:t>
      </w:r>
    </w:p>
    <w:p>
      <w:pPr>
        <w:pStyle w:val="Heading3"/>
      </w:pPr>
      <w:r>
        <w:t>HIPAA</w:t>
      </w:r>
    </w:p>
    <w:p>
      <w:r>
        <w:t>[If applicable.] AI tools processing PHI must comply with HIPAA Security Rule, Privacy Rule, and Breach Notification Rule requirements. Business Associate Agreements (BAAs) are required with AI vendors processing PHI.</w:t>
      </w:r>
    </w:p>
    <w:p>
      <w:pPr>
        <w:pStyle w:val="Heading3"/>
      </w:pPr>
      <w:r>
        <w:t>SOC 2</w:t>
      </w:r>
    </w:p>
    <w:p>
      <w:r>
        <w:t>[If applicable.] AI tool usage must be consistent with the Organization's SOC 2 Trust Services Criteria, particularly regarding security, availability, processing integrity, confidentiality, and privacy.</w:t>
      </w:r>
    </w:p>
    <w:p>
      <w:pPr>
        <w:pStyle w:val="Heading3"/>
      </w:pPr>
      <w:r>
        <w:t>Industry-Specific Regulations</w:t>
      </w:r>
    </w:p>
    <w:p>
      <w:r>
        <w:t>[Add applicable regulations: GLBA, FERPA, COPPA, PCI DSS, CMMC, SEC AI disclosure requirements, etc.]</w:t>
      </w:r>
    </w:p>
    <w:p>
      <w:r>
        <w:t>The Organization commits to monitoring regulatory developments and updating this policy as new AI-specific regulations take effect.</w:t>
      </w:r>
    </w:p>
    <w:p>
      <w:pPr>
        <w:pStyle w:val="Heading1"/>
        <w:pBdr>
          <w:bottom w:val="single" w:sz="6" w:space="1" w:color="1E6BB8"/>
        </w:pBdr>
      </w:pPr>
      <w:r>
        <w:t>15. Monitoring, Logging, and Audit</w:t>
      </w:r>
    </w:p>
    <w:p>
      <w:pPr>
        <w:pStyle w:val="Heading2"/>
      </w:pPr>
      <w:r>
        <w:t>15.1 Usage Monitoring</w:t>
      </w:r>
    </w:p>
    <w:p>
      <w:r>
        <w:t>The Organization reserves the right to monitor AI tool usage across organizational systems and networks to ensure compliance with this policy. Monitoring may include: tracking which AI tools are accessed; reviewing the volume and nature of data submitted to AI services; monitoring for unauthorized AI tool usage (Shadow AI); and reviewing AI-generated outputs for compliance and quality assurance purposes. All monitoring activities will comply with applicable labor laws, privacy regulations, and the Organization's employee monitoring policies.</w:t>
      </w:r>
    </w:p>
    <w:p>
      <w:pPr>
        <w:pStyle w:val="Heading2"/>
      </w:pPr>
      <w:r>
        <w:t>15.2 Logging Requirements</w:t>
      </w:r>
    </w:p>
    <w:p>
      <w:r>
        <w:t>AI tool usage should be logged to the extent technically feasible and appropriate for the risk level. Logs should capture, at minimum: user identity and timestamp; the AI tool used; the general nature of the task (without logging the full content of prompts or outputs, unless required by specific compliance mandates); and any data classification flags triggered. Log retention periods must align with the Organization's data retention policy and applicable regulatory requirements.</w:t>
      </w:r>
    </w:p>
    <w:p>
      <w:pPr>
        <w:pStyle w:val="Heading2"/>
      </w:pPr>
      <w:r>
        <w:t>15.3 Periodic Audits</w:t>
      </w:r>
    </w:p>
    <w:p>
      <w:r>
        <w:t>The [IT Security / Internal Audit / AI Governance Committee] will conduct periodic audits of AI tool usage, including: validation of approved tool configurations; review of access controls and permissions; assessment of compliance with data handling requirements; evaluation of vendor compliance with contractual obligations; and verification that human oversight requirements are being followed. Audit findings will be reported to [CISO / Executive Leadership] and tracked to resolution.</w:t>
      </w:r>
    </w:p>
    <w:p>
      <w:pPr>
        <w:pStyle w:val="Heading1"/>
        <w:pBdr>
          <w:bottom w:val="single" w:sz="6" w:space="1" w:color="1E6BB8"/>
        </w:pBdr>
      </w:pPr>
      <w:r>
        <w:t>16. Incident Reporting</w:t>
      </w:r>
    </w:p>
    <w:p>
      <w:pPr>
        <w:pStyle w:val="Heading2"/>
      </w:pPr>
      <w:r>
        <w:t>16.1 What to Report</w:t>
      </w:r>
    </w:p>
    <w:p>
      <w:r>
        <w:t>Personnel must report any of the following AI-related events through the Organization's incident reporting process:</w:t>
      </w:r>
    </w:p>
    <w:p>
      <w:pPr>
        <w:pStyle w:val="ListBullet"/>
      </w:pPr>
      <w:r>
        <w:rPr>
          <w:rFonts w:ascii="Calibri" w:hAnsi="Calibri"/>
          <w:sz w:val="22"/>
        </w:rPr>
        <w:t>Accidental submission of Confidential or Restricted data to an AI tool.</w:t>
      </w:r>
    </w:p>
    <w:p>
      <w:pPr>
        <w:pStyle w:val="ListBullet"/>
      </w:pPr>
      <w:r>
        <w:rPr>
          <w:rFonts w:ascii="Calibri" w:hAnsi="Calibri"/>
          <w:sz w:val="22"/>
        </w:rPr>
        <w:t>Discovery of unauthorized or unapproved AI tool usage.</w:t>
      </w:r>
    </w:p>
    <w:p>
      <w:pPr>
        <w:pStyle w:val="ListBullet"/>
      </w:pPr>
      <w:r>
        <w:rPr>
          <w:rFonts w:ascii="Calibri" w:hAnsi="Calibri"/>
          <w:sz w:val="22"/>
        </w:rPr>
        <w:t>AI-generated outputs that contain apparent bias, discrimination, or harmful content.</w:t>
      </w:r>
    </w:p>
    <w:p>
      <w:pPr>
        <w:pStyle w:val="ListBullet"/>
      </w:pPr>
      <w:r>
        <w:rPr>
          <w:rFonts w:ascii="Calibri" w:hAnsi="Calibri"/>
          <w:sz w:val="22"/>
        </w:rPr>
        <w:t>Suspected data breach or unauthorized data exposure involving an AI service.</w:t>
      </w:r>
    </w:p>
    <w:p>
      <w:pPr>
        <w:pStyle w:val="ListBullet"/>
      </w:pPr>
      <w:r>
        <w:rPr>
          <w:rFonts w:ascii="Calibri" w:hAnsi="Calibri"/>
          <w:sz w:val="22"/>
        </w:rPr>
        <w:t>AI hallucinations that were not caught before being acted upon or shared externally.</w:t>
      </w:r>
    </w:p>
    <w:p>
      <w:pPr>
        <w:pStyle w:val="ListBullet"/>
      </w:pPr>
      <w:r>
        <w:rPr>
          <w:rFonts w:ascii="Calibri" w:hAnsi="Calibri"/>
          <w:sz w:val="22"/>
        </w:rPr>
        <w:t>Security vulnerabilities identified in AI tools or integrations.</w:t>
      </w:r>
    </w:p>
    <w:p>
      <w:pPr>
        <w:pStyle w:val="ListBullet"/>
      </w:pPr>
      <w:r>
        <w:rPr>
          <w:rFonts w:ascii="Calibri" w:hAnsi="Calibri"/>
          <w:sz w:val="22"/>
        </w:rPr>
        <w:t>Violations of this policy by any personnel.</w:t>
      </w:r>
    </w:p>
    <w:p>
      <w:pPr>
        <w:pStyle w:val="ListBullet"/>
      </w:pPr>
      <w:r>
        <w:rPr>
          <w:rFonts w:ascii="Calibri" w:hAnsi="Calibri"/>
          <w:sz w:val="22"/>
        </w:rPr>
        <w:t>Vendor changes to terms of service or data handling practices that may affect compliance.</w:t>
      </w:r>
    </w:p>
    <w:p>
      <w:pPr>
        <w:pStyle w:val="Heading2"/>
      </w:pPr>
      <w:r>
        <w:t>16.2 How to Report</w:t>
      </w:r>
    </w:p>
    <w:p>
      <w:r>
        <w:t>AI-related incidents should be reported to [IT Security / Help Desk / designated email address] as soon as reasonably practicable upon discovery. The report should include: a description of the event; the AI tool involved; the type and volume of data affected (if applicable); any actions taken to contain or mitigate the impact; and the names of any individuals involved or affected. The Organization will investigate all reported incidents and take appropriate corrective action. Personnel who report incidents in good faith will not face retaliation.</w:t>
      </w:r>
    </w:p>
    <w:p>
      <w:pPr>
        <w:pStyle w:val="Heading1"/>
        <w:pBdr>
          <w:bottom w:val="single" w:sz="6" w:space="1" w:color="1E6BB8"/>
        </w:pBdr>
      </w:pPr>
      <w:r>
        <w:t>17. Training and Awareness</w:t>
      </w:r>
    </w:p>
    <w:p>
      <w:pPr>
        <w:pStyle w:val="Heading2"/>
      </w:pPr>
      <w:r>
        <w:t>17.1 Mandatory Training</w:t>
      </w:r>
    </w:p>
    <w:p>
      <w:r>
        <w:t>All personnel within the scope of this policy must complete AI Acceptable Use training within [30/60/90 days] of the policy's effective date or within [30 days] of their start date, whichever is later. Training must be refreshed on an annual basis. Training content must cover: this policy's requirements and prohibited uses; data classification and handling requirements for AI tools; recognizing and mitigating AI-specific risks (hallucinations, bias, data leakage); the AI tool approval process; and incident reporting procedures.</w:t>
      </w:r>
    </w:p>
    <w:p>
      <w:pPr>
        <w:pStyle w:val="Heading2"/>
      </w:pPr>
      <w:r>
        <w:t>17.2 Role-Based Training</w:t>
      </w:r>
    </w:p>
    <w:p>
      <w:r>
        <w:t>Personnel with elevated AI usage responsibilities must complete additional role-based training. This includes: developers and engineers who integrate AI into products or workflows; managers who approve AI tool usage within their departments; IT and Security personnel who administer and monitor AI tools; procurement staff involved in AI vendor selection; and members of the AI Governance Committee.</w:t>
      </w:r>
    </w:p>
    <w:p>
      <w:pPr>
        <w:pStyle w:val="Heading2"/>
      </w:pPr>
      <w:r>
        <w:t>17.3 Awareness Communications</w:t>
      </w:r>
    </w:p>
    <w:p>
      <w:r>
        <w:t>The Organization will maintain ongoing AI security awareness through regular communications, including updates on new AI risks, policy changes, approved tool additions, and lessons learned from AI-related incidents (anonymized as appropriate).</w:t>
      </w:r>
    </w:p>
    <w:p>
      <w:pPr>
        <w:pStyle w:val="Heading1"/>
        <w:pBdr>
          <w:bottom w:val="single" w:sz="6" w:space="1" w:color="1E6BB8"/>
        </w:pBdr>
      </w:pPr>
      <w:r>
        <w:t>18. Roles and Responsibilities</w:t>
      </w:r>
    </w:p>
    <w:tbl>
      <w:tblPr>
        <w:tblW w:type="auto" w:w="0"/>
        <w:jc w:val="center"/>
        <w:tblLook w:firstColumn="1" w:firstRow="1" w:lastColumn="0" w:lastRow="0" w:noHBand="0" w:noVBand="1" w:val="04A0"/>
      </w:tblPr>
      <w:tblGrid>
        <w:gridCol w:w="4680"/>
        <w:gridCol w:w="4680"/>
      </w:tblGrid>
      <w:tr>
        <w:tc>
          <w:tcPr>
            <w:tcW w:type="dxa" w:w="4680"/>
            <w:shd w:fill="0B1F3A"/>
          </w:tcPr>
          <w:p>
            <w:r>
              <w:rPr>
                <w:rFonts w:ascii="Calibri" w:hAnsi="Calibri"/>
                <w:b/>
                <w:color w:val="FFFFFF"/>
                <w:sz w:val="20"/>
              </w:rPr>
              <w:t>Role</w:t>
            </w:r>
          </w:p>
        </w:tc>
        <w:tc>
          <w:tcPr>
            <w:tcW w:type="dxa" w:w="4680"/>
            <w:shd w:fill="0B1F3A"/>
          </w:tcPr>
          <w:p>
            <w:r>
              <w:rPr>
                <w:rFonts w:ascii="Calibri" w:hAnsi="Calibri"/>
                <w:b/>
                <w:color w:val="FFFFFF"/>
                <w:sz w:val="20"/>
              </w:rPr>
              <w:t>Responsibilities</w:t>
            </w:r>
          </w:p>
        </w:tc>
      </w:tr>
      <w:tr>
        <w:tc>
          <w:tcPr>
            <w:tcW w:type="dxa" w:w="2592"/>
            <w:shd w:fill="E8F0FE"/>
          </w:tcPr>
          <w:p>
            <w:r>
              <w:rPr>
                <w:rFonts w:ascii="Calibri" w:hAnsi="Calibri"/>
                <w:b/>
                <w:color w:val="333333"/>
                <w:sz w:val="20"/>
              </w:rPr>
              <w:t>All Personnel</w:t>
            </w:r>
          </w:p>
        </w:tc>
        <w:tc>
          <w:tcPr>
            <w:tcW w:type="dxa" w:w="6768"/>
            <w:shd w:fill="E8F0FE"/>
          </w:tcPr>
          <w:p>
            <w:r>
              <w:rPr>
                <w:rFonts w:ascii="Calibri" w:hAnsi="Calibri"/>
                <w:color w:val="333333"/>
                <w:sz w:val="20"/>
              </w:rPr>
              <w:t>Comply with this policy; use only approved AI tools; protect sensitive data; report incidents; complete required training; verify AI outputs before relying on them.</w:t>
            </w:r>
          </w:p>
        </w:tc>
      </w:tr>
      <w:tr>
        <w:tc>
          <w:tcPr>
            <w:tcW w:type="dxa" w:w="2592"/>
          </w:tcPr>
          <w:p>
            <w:r>
              <w:rPr>
                <w:rFonts w:ascii="Calibri" w:hAnsi="Calibri"/>
                <w:b/>
                <w:color w:val="333333"/>
                <w:sz w:val="20"/>
              </w:rPr>
              <w:t>Department Managers</w:t>
            </w:r>
          </w:p>
        </w:tc>
        <w:tc>
          <w:tcPr>
            <w:tcW w:type="dxa" w:w="6768"/>
          </w:tcPr>
          <w:p>
            <w:r>
              <w:rPr>
                <w:rFonts w:ascii="Calibri" w:hAnsi="Calibri"/>
                <w:color w:val="333333"/>
                <w:sz w:val="20"/>
              </w:rPr>
              <w:t>Ensure team compliance with this policy; approve departmental AI use cases within their authority; escalate requests for new AI tools; monitor team AI usage patterns.</w:t>
            </w:r>
          </w:p>
        </w:tc>
      </w:tr>
      <w:tr>
        <w:tc>
          <w:tcPr>
            <w:tcW w:type="dxa" w:w="2592"/>
            <w:shd w:fill="E8F0FE"/>
          </w:tcPr>
          <w:p>
            <w:r>
              <w:rPr>
                <w:rFonts w:ascii="Calibri" w:hAnsi="Calibri"/>
                <w:b/>
                <w:color w:val="333333"/>
                <w:sz w:val="20"/>
              </w:rPr>
              <w:t>IT / Information Security</w:t>
            </w:r>
          </w:p>
        </w:tc>
        <w:tc>
          <w:tcPr>
            <w:tcW w:type="dxa" w:w="6768"/>
            <w:shd w:fill="E8F0FE"/>
          </w:tcPr>
          <w:p>
            <w:r>
              <w:rPr>
                <w:rFonts w:ascii="Calibri" w:hAnsi="Calibri"/>
                <w:color w:val="333333"/>
                <w:sz w:val="20"/>
              </w:rPr>
              <w:t>Maintain the Approved AI Tool Registry; conduct vendor security assessments; monitor for Shadow AI; manage AI tool access controls; investigate AI-related security incidents; maintain logging and audit capabilities.</w:t>
            </w:r>
          </w:p>
        </w:tc>
      </w:tr>
      <w:tr>
        <w:tc>
          <w:tcPr>
            <w:tcW w:type="dxa" w:w="2592"/>
          </w:tcPr>
          <w:p>
            <w:r>
              <w:rPr>
                <w:rFonts w:ascii="Calibri" w:hAnsi="Calibri"/>
                <w:b/>
                <w:color w:val="333333"/>
                <w:sz w:val="20"/>
              </w:rPr>
              <w:t>Legal / Compliance</w:t>
            </w:r>
          </w:p>
        </w:tc>
        <w:tc>
          <w:tcPr>
            <w:tcW w:type="dxa" w:w="6768"/>
          </w:tcPr>
          <w:p>
            <w:r>
              <w:rPr>
                <w:rFonts w:ascii="Calibri" w:hAnsi="Calibri"/>
                <w:color w:val="333333"/>
                <w:sz w:val="20"/>
              </w:rPr>
              <w:t>Review AI-related contracts and DPAs; assess regulatory compliance implications; advise on intellectual property and privacy matters; review customer-facing AI disclosures.</w:t>
            </w:r>
          </w:p>
        </w:tc>
      </w:tr>
      <w:tr>
        <w:tc>
          <w:tcPr>
            <w:tcW w:type="dxa" w:w="2592"/>
            <w:shd w:fill="E8F0FE"/>
          </w:tcPr>
          <w:p>
            <w:r>
              <w:rPr>
                <w:rFonts w:ascii="Calibri" w:hAnsi="Calibri"/>
                <w:b/>
                <w:color w:val="333333"/>
                <w:sz w:val="20"/>
              </w:rPr>
              <w:t>Human Resources</w:t>
            </w:r>
          </w:p>
        </w:tc>
        <w:tc>
          <w:tcPr>
            <w:tcW w:type="dxa" w:w="6768"/>
            <w:shd w:fill="E8F0FE"/>
          </w:tcPr>
          <w:p>
            <w:r>
              <w:rPr>
                <w:rFonts w:ascii="Calibri" w:hAnsi="Calibri"/>
                <w:color w:val="333333"/>
                <w:sz w:val="20"/>
              </w:rPr>
              <w:t>Incorporate AI policy into onboarding; manage policy acknowledgments; support enforcement actions; ensure training completion tracking.</w:t>
            </w:r>
          </w:p>
        </w:tc>
      </w:tr>
      <w:tr>
        <w:tc>
          <w:tcPr>
            <w:tcW w:type="dxa" w:w="2592"/>
          </w:tcPr>
          <w:p>
            <w:r>
              <w:rPr>
                <w:rFonts w:ascii="Calibri" w:hAnsi="Calibri"/>
                <w:b/>
                <w:color w:val="333333"/>
                <w:sz w:val="20"/>
              </w:rPr>
              <w:t>AI Governance Committee</w:t>
            </w:r>
          </w:p>
        </w:tc>
        <w:tc>
          <w:tcPr>
            <w:tcW w:type="dxa" w:w="6768"/>
          </w:tcPr>
          <w:p>
            <w:r>
              <w:rPr>
                <w:rFonts w:ascii="Calibri" w:hAnsi="Calibri"/>
                <w:color w:val="333333"/>
                <w:sz w:val="20"/>
              </w:rPr>
              <w:t>[If applicable.] Review and approve new AI tools and high-risk use cases; monitor regulatory landscape; adjudicate exceptions; report to executive leadership on AI risk posture.</w:t>
            </w:r>
          </w:p>
        </w:tc>
      </w:tr>
      <w:tr>
        <w:tc>
          <w:tcPr>
            <w:tcW w:type="dxa" w:w="2592"/>
            <w:shd w:fill="E8F0FE"/>
          </w:tcPr>
          <w:p>
            <w:r>
              <w:rPr>
                <w:rFonts w:ascii="Calibri" w:hAnsi="Calibri"/>
                <w:b/>
                <w:color w:val="333333"/>
                <w:sz w:val="20"/>
              </w:rPr>
              <w:t>Executive Leadership</w:t>
            </w:r>
          </w:p>
        </w:tc>
        <w:tc>
          <w:tcPr>
            <w:tcW w:type="dxa" w:w="6768"/>
            <w:shd w:fill="E8F0FE"/>
          </w:tcPr>
          <w:p>
            <w:r>
              <w:rPr>
                <w:rFonts w:ascii="Calibri" w:hAnsi="Calibri"/>
                <w:color w:val="333333"/>
                <w:sz w:val="20"/>
              </w:rPr>
              <w:t>Set the tone for responsible AI adoption; allocate resources for AI governance; review periodic risk reports; approve material policy changes.</w:t>
            </w:r>
          </w:p>
        </w:tc>
      </w:tr>
    </w:tbl>
    <w:p>
      <w:pPr>
        <w:pStyle w:val="Heading1"/>
        <w:pBdr>
          <w:bottom w:val="single" w:sz="6" w:space="1" w:color="1E6BB8"/>
        </w:pBdr>
      </w:pPr>
      <w:r>
        <w:t>19. Enforcement and Consequences</w:t>
      </w:r>
    </w:p>
    <w:p>
      <w:r>
        <w:t>Compliance with this policy is mandatory. Violations may result in disciplinary action proportionate to the severity and nature of the violation, up to and including:</w:t>
      </w:r>
    </w:p>
    <w:p>
      <w:pPr>
        <w:pStyle w:val="ListBullet"/>
      </w:pPr>
      <w:r>
        <w:rPr>
          <w:rFonts w:ascii="Calibri" w:hAnsi="Calibri"/>
          <w:sz w:val="22"/>
        </w:rPr>
        <w:t>Verbal or written warning with mandatory remedial training.</w:t>
      </w:r>
    </w:p>
    <w:p>
      <w:pPr>
        <w:pStyle w:val="ListBullet"/>
      </w:pPr>
      <w:r>
        <w:rPr>
          <w:rFonts w:ascii="Calibri" w:hAnsi="Calibri"/>
          <w:sz w:val="22"/>
        </w:rPr>
        <w:t>Temporary suspension of AI tool access privileges.</w:t>
      </w:r>
    </w:p>
    <w:p>
      <w:pPr>
        <w:pStyle w:val="ListBullet"/>
      </w:pPr>
      <w:r>
        <w:rPr>
          <w:rFonts w:ascii="Calibri" w:hAnsi="Calibri"/>
          <w:sz w:val="22"/>
        </w:rPr>
        <w:t>Permanent revocation of AI tool access.</w:t>
      </w:r>
    </w:p>
    <w:p>
      <w:pPr>
        <w:pStyle w:val="ListBullet"/>
      </w:pPr>
      <w:r>
        <w:rPr>
          <w:rFonts w:ascii="Calibri" w:hAnsi="Calibri"/>
          <w:sz w:val="22"/>
        </w:rPr>
        <w:t>Formal disciplinary action as outlined in the Organization's employee handbook.</w:t>
      </w:r>
    </w:p>
    <w:p>
      <w:pPr>
        <w:pStyle w:val="ListBullet"/>
      </w:pPr>
      <w:r>
        <w:rPr>
          <w:rFonts w:ascii="Calibri" w:hAnsi="Calibri"/>
          <w:sz w:val="22"/>
        </w:rPr>
        <w:t>Termination of employment or contract.</w:t>
      </w:r>
    </w:p>
    <w:p>
      <w:pPr>
        <w:pStyle w:val="ListBullet"/>
      </w:pPr>
      <w:r>
        <w:rPr>
          <w:rFonts w:ascii="Calibri" w:hAnsi="Calibri"/>
          <w:sz w:val="22"/>
        </w:rPr>
        <w:t>Legal action, where the violation constitutes a breach of law or contractual obligation.</w:t>
      </w:r>
    </w:p>
    <w:p>
      <w:r>
        <w:t>The severity of consequences will be determined based on factors including: the intent behind the violation (negligent vs. deliberate); the sensitivity of data involved; the actual or potential harm resulting from the violation; whether the violation was self-reported; and any prior violations by the same individual. Enforcement actions will be administered in coordination with Human Resources and, where necessary, Legal.</w:t>
      </w:r>
    </w:p>
    <w:p>
      <w:pPr>
        <w:pStyle w:val="Heading1"/>
        <w:pBdr>
          <w:bottom w:val="single" w:sz="6" w:space="1" w:color="1E6BB8"/>
        </w:pBdr>
      </w:pPr>
      <w:r>
        <w:t>20. Policy Exceptions</w:t>
      </w:r>
    </w:p>
    <w:p>
      <w:r>
        <w:t>Exceptions to this policy may be granted on a case-by-case basis when a legitimate business need exists and appropriate compensating controls can be implemented. All exception requests must be submitted in writing to [Policy Owner / AI Governance Committee] and must include: a description of the specific policy provision requiring exception; the business justification; a risk assessment of the proposed exception; proposed compensating controls; the duration of the requested exception; and the name and title of the requesting individual and their manager.</w:t>
      </w:r>
    </w:p>
    <w:p>
      <w:r>
        <w:t>Approved exceptions must be documented, time-bound (not to exceed [12 months] without renewal), and subject to periodic review. Exceptions do not set precedent and must be individually evaluated.</w:t>
      </w:r>
    </w:p>
    <w:p>
      <w:pPr>
        <w:pStyle w:val="Heading1"/>
        <w:pBdr>
          <w:bottom w:val="single" w:sz="6" w:space="1" w:color="1E6BB8"/>
        </w:pBdr>
      </w:pPr>
      <w:r>
        <w:t>21. Related Policies and Standards</w:t>
      </w:r>
    </w:p>
    <w:p>
      <w:r>
        <w:t>This policy should be read in conjunction with the following organizational policies and standards [customize to reflect your policy library]:</w:t>
      </w:r>
    </w:p>
    <w:p>
      <w:pPr>
        <w:pStyle w:val="ListBullet"/>
      </w:pPr>
      <w:r>
        <w:rPr>
          <w:rFonts w:ascii="Calibri" w:hAnsi="Calibri"/>
          <w:sz w:val="22"/>
        </w:rPr>
        <w:t>Information Security Policy</w:t>
      </w:r>
    </w:p>
    <w:p>
      <w:pPr>
        <w:pStyle w:val="ListBullet"/>
      </w:pPr>
      <w:r>
        <w:rPr>
          <w:rFonts w:ascii="Calibri" w:hAnsi="Calibri"/>
          <w:sz w:val="22"/>
        </w:rPr>
        <w:t>Data Classification and Handling Policy</w:t>
      </w:r>
    </w:p>
    <w:p>
      <w:pPr>
        <w:pStyle w:val="ListBullet"/>
      </w:pPr>
      <w:r>
        <w:rPr>
          <w:rFonts w:ascii="Calibri" w:hAnsi="Calibri"/>
          <w:sz w:val="22"/>
        </w:rPr>
        <w:t>Acceptable Use Policy (General IT)</w:t>
      </w:r>
    </w:p>
    <w:p>
      <w:pPr>
        <w:pStyle w:val="ListBullet"/>
      </w:pPr>
      <w:r>
        <w:rPr>
          <w:rFonts w:ascii="Calibri" w:hAnsi="Calibri"/>
          <w:sz w:val="22"/>
        </w:rPr>
        <w:t>Data Privacy Policy</w:t>
      </w:r>
    </w:p>
    <w:p>
      <w:pPr>
        <w:pStyle w:val="ListBullet"/>
      </w:pPr>
      <w:r>
        <w:rPr>
          <w:rFonts w:ascii="Calibri" w:hAnsi="Calibri"/>
          <w:sz w:val="22"/>
        </w:rPr>
        <w:t>Vendor Risk Management Policy</w:t>
      </w:r>
    </w:p>
    <w:p>
      <w:pPr>
        <w:pStyle w:val="ListBullet"/>
      </w:pPr>
      <w:r>
        <w:rPr>
          <w:rFonts w:ascii="Calibri" w:hAnsi="Calibri"/>
          <w:sz w:val="22"/>
        </w:rPr>
        <w:t>Incident Response Plan</w:t>
      </w:r>
    </w:p>
    <w:p>
      <w:pPr>
        <w:pStyle w:val="ListBullet"/>
      </w:pPr>
      <w:r>
        <w:rPr>
          <w:rFonts w:ascii="Calibri" w:hAnsi="Calibri"/>
          <w:sz w:val="22"/>
        </w:rPr>
        <w:t>Intellectual Property Policy</w:t>
      </w:r>
    </w:p>
    <w:p>
      <w:pPr>
        <w:pStyle w:val="ListBullet"/>
      </w:pPr>
      <w:r>
        <w:rPr>
          <w:rFonts w:ascii="Calibri" w:hAnsi="Calibri"/>
          <w:sz w:val="22"/>
        </w:rPr>
        <w:t>Code of Conduct / Ethics Policy</w:t>
      </w:r>
    </w:p>
    <w:p>
      <w:pPr>
        <w:pStyle w:val="ListBullet"/>
      </w:pPr>
      <w:r>
        <w:rPr>
          <w:rFonts w:ascii="Calibri" w:hAnsi="Calibri"/>
          <w:sz w:val="22"/>
        </w:rPr>
        <w:t>Employee Handbook (Disciplinary Procedures)</w:t>
      </w:r>
    </w:p>
    <w:p>
      <w:pPr>
        <w:pStyle w:val="ListBullet"/>
      </w:pPr>
      <w:r>
        <w:rPr>
          <w:rFonts w:ascii="Calibri" w:hAnsi="Calibri"/>
          <w:sz w:val="22"/>
        </w:rPr>
        <w:t>Remote Work / BYOD Policy</w:t>
      </w:r>
    </w:p>
    <w:p>
      <w:pPr>
        <w:pStyle w:val="ListBullet"/>
      </w:pPr>
      <w:r>
        <w:rPr>
          <w:rFonts w:ascii="Calibri" w:hAnsi="Calibri"/>
          <w:sz w:val="22"/>
        </w:rPr>
        <w:t>Change Management Policy</w:t>
      </w:r>
    </w:p>
    <w:p>
      <w:pPr>
        <w:pStyle w:val="ListBullet"/>
      </w:pPr>
      <w:r>
        <w:rPr>
          <w:rFonts w:ascii="Calibri" w:hAnsi="Calibri"/>
          <w:sz w:val="22"/>
        </w:rPr>
        <w:t>Software Development Lifecycle (SDLC) Policy</w:t>
      </w:r>
    </w:p>
    <w:p>
      <w:pPr>
        <w:pStyle w:val="Heading1"/>
        <w:pBdr>
          <w:bottom w:val="single" w:sz="6" w:space="1" w:color="1E6BB8"/>
        </w:pBdr>
      </w:pPr>
      <w:r>
        <w:t>22. Document Revision History</w:t>
      </w:r>
    </w:p>
    <w:tbl>
      <w:tblPr>
        <w:tblW w:type="auto" w:w="0"/>
        <w:jc w:val="center"/>
        <w:tblLook w:firstColumn="1" w:firstRow="1" w:lastColumn="0" w:lastRow="0" w:noHBand="0" w:noVBand="1" w:val="04A0"/>
      </w:tblPr>
      <w:tblGrid>
        <w:gridCol w:w="2340"/>
        <w:gridCol w:w="2340"/>
        <w:gridCol w:w="2340"/>
        <w:gridCol w:w="2340"/>
      </w:tblGrid>
      <w:tr>
        <w:tc>
          <w:tcPr>
            <w:tcW w:type="dxa" w:w="2340"/>
            <w:shd w:fill="0B1F3A"/>
          </w:tcPr>
          <w:p>
            <w:r>
              <w:rPr>
                <w:rFonts w:ascii="Calibri" w:hAnsi="Calibri"/>
                <w:b/>
                <w:color w:val="FFFFFF"/>
                <w:sz w:val="20"/>
              </w:rPr>
              <w:t>Version</w:t>
            </w:r>
          </w:p>
        </w:tc>
        <w:tc>
          <w:tcPr>
            <w:tcW w:type="dxa" w:w="2340"/>
            <w:shd w:fill="0B1F3A"/>
          </w:tcPr>
          <w:p>
            <w:r>
              <w:rPr>
                <w:rFonts w:ascii="Calibri" w:hAnsi="Calibri"/>
                <w:b/>
                <w:color w:val="FFFFFF"/>
                <w:sz w:val="20"/>
              </w:rPr>
              <w:t>Date</w:t>
            </w:r>
          </w:p>
        </w:tc>
        <w:tc>
          <w:tcPr>
            <w:tcW w:type="dxa" w:w="2340"/>
            <w:shd w:fill="0B1F3A"/>
          </w:tcPr>
          <w:p>
            <w:r>
              <w:rPr>
                <w:rFonts w:ascii="Calibri" w:hAnsi="Calibri"/>
                <w:b/>
                <w:color w:val="FFFFFF"/>
                <w:sz w:val="20"/>
              </w:rPr>
              <w:t>Author</w:t>
            </w:r>
          </w:p>
        </w:tc>
        <w:tc>
          <w:tcPr>
            <w:tcW w:type="dxa" w:w="2340"/>
            <w:shd w:fill="0B1F3A"/>
          </w:tcPr>
          <w:p>
            <w:r>
              <w:rPr>
                <w:rFonts w:ascii="Calibri" w:hAnsi="Calibri"/>
                <w:b/>
                <w:color w:val="FFFFFF"/>
                <w:sz w:val="20"/>
              </w:rPr>
              <w:t>Description of Changes</w:t>
            </w:r>
          </w:p>
        </w:tc>
      </w:tr>
      <w:tr>
        <w:tc>
          <w:tcPr>
            <w:tcW w:type="dxa" w:w="2340"/>
          </w:tcPr>
          <w:p>
            <w:r>
              <w:rPr>
                <w:rFonts w:ascii="Calibri" w:hAnsi="Calibri"/>
                <w:color w:val="333333"/>
                <w:sz w:val="20"/>
              </w:rPr>
              <w:t>1.0</w:t>
            </w:r>
          </w:p>
        </w:tc>
        <w:tc>
          <w:tcPr>
            <w:tcW w:type="dxa" w:w="2340"/>
          </w:tcPr>
          <w:p>
            <w:r>
              <w:rPr>
                <w:rFonts w:ascii="Calibri" w:hAnsi="Calibri"/>
                <w:color w:val="333333"/>
                <w:sz w:val="20"/>
              </w:rPr>
              <w:t>[Effective Date]</w:t>
            </w:r>
          </w:p>
        </w:tc>
        <w:tc>
          <w:tcPr>
            <w:tcW w:type="dxa" w:w="2340"/>
          </w:tcPr>
          <w:p>
            <w:r>
              <w:rPr>
                <w:rFonts w:ascii="Calibri" w:hAnsi="Calibri"/>
                <w:color w:val="333333"/>
                <w:sz w:val="20"/>
              </w:rPr>
              <w:t>[Author Name]</w:t>
            </w:r>
          </w:p>
        </w:tc>
        <w:tc>
          <w:tcPr>
            <w:tcW w:type="dxa" w:w="2340"/>
          </w:tcPr>
          <w:p>
            <w:r>
              <w:rPr>
                <w:rFonts w:ascii="Calibri" w:hAnsi="Calibri"/>
                <w:color w:val="333333"/>
                <w:sz w:val="20"/>
              </w:rPr>
              <w:t>Initial policy release.</w:t>
            </w:r>
          </w:p>
        </w:tc>
      </w:tr>
      <w:tr>
        <w:tc>
          <w:tcPr>
            <w:tcW w:type="dxa" w:w="2340"/>
          </w:tcPr>
          <w:p>
            <w:r>
              <w:rPr>
                <w:rFonts w:ascii="Calibri" w:hAnsi="Calibri"/>
                <w:i/>
                <w:color w:val="666666"/>
                <w:sz w:val="20"/>
              </w:rPr>
            </w:r>
          </w:p>
        </w:tc>
        <w:tc>
          <w:tcPr>
            <w:tcW w:type="dxa" w:w="2340"/>
          </w:tcPr>
          <w:p>
            <w:r>
              <w:rPr>
                <w:rFonts w:ascii="Calibri" w:hAnsi="Calibri"/>
                <w:i/>
                <w:color w:val="666666"/>
                <w:sz w:val="20"/>
              </w:rPr>
            </w:r>
          </w:p>
        </w:tc>
        <w:tc>
          <w:tcPr>
            <w:tcW w:type="dxa" w:w="2340"/>
          </w:tcPr>
          <w:p>
            <w:r>
              <w:rPr>
                <w:rFonts w:ascii="Calibri" w:hAnsi="Calibri"/>
                <w:i/>
                <w:color w:val="666666"/>
                <w:sz w:val="20"/>
              </w:rPr>
            </w:r>
          </w:p>
        </w:tc>
        <w:tc>
          <w:tcPr>
            <w:tcW w:type="dxa" w:w="2340"/>
          </w:tcPr>
          <w:p>
            <w:r>
              <w:rPr>
                <w:rFonts w:ascii="Calibri" w:hAnsi="Calibri"/>
                <w:i/>
                <w:color w:val="666666"/>
                <w:sz w:val="20"/>
              </w:rPr>
            </w:r>
          </w:p>
        </w:tc>
      </w:tr>
    </w:tbl>
    <w:p>
      <w:r>
        <w:br w:type="page"/>
      </w:r>
    </w:p>
    <w:p>
      <w:pPr>
        <w:pStyle w:val="Heading1"/>
        <w:pBdr>
          <w:bottom w:val="single" w:sz="6" w:space="1" w:color="1E6BB8"/>
        </w:pBdr>
      </w:pPr>
      <w:r>
        <w:t>Appendix A: AI Tool Approval Request Form</w:t>
      </w:r>
    </w:p>
    <w:p>
      <w:r>
        <w:t>Complete this form to request approval for a new AI tool. Submit to [IT Security / AI Governance Committee] for review.</w:t>
      </w:r>
    </w:p>
    <w:tbl>
      <w:tblPr>
        <w:tblW w:type="auto" w:w="0"/>
        <w:jc w:val="center"/>
        <w:tblLook w:firstColumn="1" w:firstRow="1" w:lastColumn="0" w:lastRow="0" w:noHBand="0" w:noVBand="1" w:val="04A0"/>
      </w:tblPr>
      <w:tblGrid>
        <w:gridCol w:w="4680"/>
        <w:gridCol w:w="4680"/>
      </w:tblGrid>
      <w:tr>
        <w:tc>
          <w:tcPr>
            <w:tcW w:type="dxa" w:w="3168"/>
            <w:shd w:fill="E8F0FE"/>
          </w:tcPr>
          <w:p>
            <w:r>
              <w:rPr>
                <w:rFonts w:ascii="Calibri" w:hAnsi="Calibri"/>
                <w:b/>
                <w:color w:val="0B1F3A"/>
                <w:sz w:val="20"/>
              </w:rPr>
              <w:t>Requestor Name:</w:t>
            </w:r>
          </w:p>
        </w:tc>
        <w:tc>
          <w:tcPr>
            <w:tcW w:type="dxa" w:w="6192"/>
            <w:shd w:fill="E8F0FE"/>
          </w:tcPr>
          <w:p>
            <w:r>
              <w:rPr>
                <w:rFonts w:ascii="Calibri" w:hAnsi="Calibri"/>
                <w:i w:val="0"/>
                <w:color w:val="666666"/>
                <w:sz w:val="20"/>
              </w:rPr>
            </w:r>
          </w:p>
        </w:tc>
      </w:tr>
      <w:tr>
        <w:tc>
          <w:tcPr>
            <w:tcW w:type="dxa" w:w="3168"/>
          </w:tcPr>
          <w:p>
            <w:r>
              <w:rPr>
                <w:rFonts w:ascii="Calibri" w:hAnsi="Calibri"/>
                <w:b/>
                <w:color w:val="0B1F3A"/>
                <w:sz w:val="20"/>
              </w:rPr>
              <w:t>Department:</w:t>
            </w:r>
          </w:p>
        </w:tc>
        <w:tc>
          <w:tcPr>
            <w:tcW w:type="dxa" w:w="6192"/>
          </w:tcPr>
          <w:p>
            <w:r>
              <w:rPr>
                <w:rFonts w:ascii="Calibri" w:hAnsi="Calibri"/>
                <w:i w:val="0"/>
                <w:color w:val="666666"/>
                <w:sz w:val="20"/>
              </w:rPr>
            </w:r>
          </w:p>
        </w:tc>
      </w:tr>
      <w:tr>
        <w:tc>
          <w:tcPr>
            <w:tcW w:type="dxa" w:w="3168"/>
            <w:shd w:fill="E8F0FE"/>
          </w:tcPr>
          <w:p>
            <w:r>
              <w:rPr>
                <w:rFonts w:ascii="Calibri" w:hAnsi="Calibri"/>
                <w:b/>
                <w:color w:val="0B1F3A"/>
                <w:sz w:val="20"/>
              </w:rPr>
              <w:t>Date of Request:</w:t>
            </w:r>
          </w:p>
        </w:tc>
        <w:tc>
          <w:tcPr>
            <w:tcW w:type="dxa" w:w="6192"/>
            <w:shd w:fill="E8F0FE"/>
          </w:tcPr>
          <w:p>
            <w:r>
              <w:rPr>
                <w:rFonts w:ascii="Calibri" w:hAnsi="Calibri"/>
                <w:i w:val="0"/>
                <w:color w:val="666666"/>
                <w:sz w:val="20"/>
              </w:rPr>
            </w:r>
          </w:p>
        </w:tc>
      </w:tr>
      <w:tr>
        <w:tc>
          <w:tcPr>
            <w:tcW w:type="dxa" w:w="3168"/>
          </w:tcPr>
          <w:p>
            <w:r>
              <w:rPr>
                <w:rFonts w:ascii="Calibri" w:hAnsi="Calibri"/>
                <w:b/>
                <w:color w:val="0B1F3A"/>
                <w:sz w:val="20"/>
              </w:rPr>
              <w:t>AI Tool / Platform Name:</w:t>
            </w:r>
          </w:p>
        </w:tc>
        <w:tc>
          <w:tcPr>
            <w:tcW w:type="dxa" w:w="6192"/>
          </w:tcPr>
          <w:p>
            <w:r>
              <w:rPr>
                <w:rFonts w:ascii="Calibri" w:hAnsi="Calibri"/>
                <w:i w:val="0"/>
                <w:color w:val="666666"/>
                <w:sz w:val="20"/>
              </w:rPr>
            </w:r>
          </w:p>
        </w:tc>
      </w:tr>
      <w:tr>
        <w:tc>
          <w:tcPr>
            <w:tcW w:type="dxa" w:w="3168"/>
            <w:shd w:fill="E8F0FE"/>
          </w:tcPr>
          <w:p>
            <w:r>
              <w:rPr>
                <w:rFonts w:ascii="Calibri" w:hAnsi="Calibri"/>
                <w:b/>
                <w:color w:val="0B1F3A"/>
                <w:sz w:val="20"/>
              </w:rPr>
              <w:t>Vendor / Provider:</w:t>
            </w:r>
          </w:p>
        </w:tc>
        <w:tc>
          <w:tcPr>
            <w:tcW w:type="dxa" w:w="6192"/>
            <w:shd w:fill="E8F0FE"/>
          </w:tcPr>
          <w:p>
            <w:r>
              <w:rPr>
                <w:rFonts w:ascii="Calibri" w:hAnsi="Calibri"/>
                <w:i w:val="0"/>
                <w:color w:val="666666"/>
                <w:sz w:val="20"/>
              </w:rPr>
            </w:r>
          </w:p>
        </w:tc>
      </w:tr>
      <w:tr>
        <w:tc>
          <w:tcPr>
            <w:tcW w:type="dxa" w:w="3168"/>
          </w:tcPr>
          <w:p>
            <w:r>
              <w:rPr>
                <w:rFonts w:ascii="Calibri" w:hAnsi="Calibri"/>
                <w:b/>
                <w:color w:val="0B1F3A"/>
                <w:sz w:val="20"/>
              </w:rPr>
              <w:t>URL / Access Method:</w:t>
            </w:r>
          </w:p>
        </w:tc>
        <w:tc>
          <w:tcPr>
            <w:tcW w:type="dxa" w:w="6192"/>
          </w:tcPr>
          <w:p>
            <w:r>
              <w:rPr>
                <w:rFonts w:ascii="Calibri" w:hAnsi="Calibri"/>
                <w:i w:val="0"/>
                <w:color w:val="666666"/>
                <w:sz w:val="20"/>
              </w:rPr>
            </w:r>
          </w:p>
        </w:tc>
      </w:tr>
      <w:tr>
        <w:tc>
          <w:tcPr>
            <w:tcW w:type="dxa" w:w="3168"/>
            <w:shd w:fill="E8F0FE"/>
          </w:tcPr>
          <w:p>
            <w:r>
              <w:rPr>
                <w:rFonts w:ascii="Calibri" w:hAnsi="Calibri"/>
                <w:b/>
                <w:color w:val="0B1F3A"/>
                <w:sz w:val="20"/>
              </w:rPr>
              <w:t>Tool Description:</w:t>
            </w:r>
          </w:p>
        </w:tc>
        <w:tc>
          <w:tcPr>
            <w:tcW w:type="dxa" w:w="6192"/>
            <w:shd w:fill="E8F0FE"/>
          </w:tcPr>
          <w:p>
            <w:r>
              <w:rPr>
                <w:rFonts w:ascii="Calibri" w:hAnsi="Calibri"/>
                <w:i/>
                <w:color w:val="666666"/>
                <w:sz w:val="20"/>
              </w:rPr>
              <w:t>(Briefly describe the tool and its capabilities)</w:t>
            </w:r>
          </w:p>
        </w:tc>
      </w:tr>
      <w:tr>
        <w:tc>
          <w:tcPr>
            <w:tcW w:type="dxa" w:w="3168"/>
          </w:tcPr>
          <w:p>
            <w:r>
              <w:rPr>
                <w:rFonts w:ascii="Calibri" w:hAnsi="Calibri"/>
                <w:b/>
                <w:color w:val="0B1F3A"/>
                <w:sz w:val="20"/>
              </w:rPr>
              <w:t>Business Justification:</w:t>
            </w:r>
          </w:p>
        </w:tc>
        <w:tc>
          <w:tcPr>
            <w:tcW w:type="dxa" w:w="6192"/>
          </w:tcPr>
          <w:p>
            <w:r>
              <w:rPr>
                <w:rFonts w:ascii="Calibri" w:hAnsi="Calibri"/>
                <w:i/>
                <w:color w:val="666666"/>
                <w:sz w:val="20"/>
              </w:rPr>
              <w:t>(Why is this tool needed? What problem does it solve?)</w:t>
            </w:r>
          </w:p>
        </w:tc>
      </w:tr>
      <w:tr>
        <w:tc>
          <w:tcPr>
            <w:tcW w:type="dxa" w:w="3168"/>
            <w:shd w:fill="E8F0FE"/>
          </w:tcPr>
          <w:p>
            <w:r>
              <w:rPr>
                <w:rFonts w:ascii="Calibri" w:hAnsi="Calibri"/>
                <w:b/>
                <w:color w:val="0B1F3A"/>
                <w:sz w:val="20"/>
              </w:rPr>
              <w:t>Intended Use Cases:</w:t>
            </w:r>
          </w:p>
        </w:tc>
        <w:tc>
          <w:tcPr>
            <w:tcW w:type="dxa" w:w="6192"/>
            <w:shd w:fill="E8F0FE"/>
          </w:tcPr>
          <w:p>
            <w:r>
              <w:rPr>
                <w:rFonts w:ascii="Calibri" w:hAnsi="Calibri"/>
                <w:i/>
                <w:color w:val="666666"/>
                <w:sz w:val="20"/>
              </w:rPr>
              <w:t>(How will the tool be used? What types of tasks?)</w:t>
            </w:r>
          </w:p>
        </w:tc>
      </w:tr>
      <w:tr>
        <w:tc>
          <w:tcPr>
            <w:tcW w:type="dxa" w:w="3168"/>
          </w:tcPr>
          <w:p>
            <w:r>
              <w:rPr>
                <w:rFonts w:ascii="Calibri" w:hAnsi="Calibri"/>
                <w:b/>
                <w:color w:val="0B1F3A"/>
                <w:sz w:val="20"/>
              </w:rPr>
              <w:t>Data to be Processed:</w:t>
            </w:r>
          </w:p>
        </w:tc>
        <w:tc>
          <w:tcPr>
            <w:tcW w:type="dxa" w:w="6192"/>
          </w:tcPr>
          <w:p>
            <w:r>
              <w:rPr>
                <w:rFonts w:ascii="Calibri" w:hAnsi="Calibri"/>
                <w:i/>
                <w:color w:val="666666"/>
                <w:sz w:val="20"/>
              </w:rPr>
              <w:t>(What data will be submitted to the tool?)</w:t>
            </w:r>
          </w:p>
        </w:tc>
      </w:tr>
      <w:tr>
        <w:tc>
          <w:tcPr>
            <w:tcW w:type="dxa" w:w="3168"/>
            <w:shd w:fill="E8F0FE"/>
          </w:tcPr>
          <w:p>
            <w:r>
              <w:rPr>
                <w:rFonts w:ascii="Calibri" w:hAnsi="Calibri"/>
                <w:b/>
                <w:color w:val="0B1F3A"/>
                <w:sz w:val="20"/>
              </w:rPr>
              <w:t>Data Classification Level:</w:t>
            </w:r>
          </w:p>
        </w:tc>
        <w:tc>
          <w:tcPr>
            <w:tcW w:type="dxa" w:w="6192"/>
            <w:shd w:fill="E8F0FE"/>
          </w:tcPr>
          <w:p>
            <w:r>
              <w:rPr>
                <w:rFonts w:ascii="Calibri" w:hAnsi="Calibri"/>
                <w:i/>
                <w:color w:val="666666"/>
                <w:sz w:val="20"/>
              </w:rPr>
              <w:t>☐ Public  ☐ Internal  ☐ Confidential  ☐ Restricted</w:t>
            </w:r>
          </w:p>
        </w:tc>
      </w:tr>
      <w:tr>
        <w:tc>
          <w:tcPr>
            <w:tcW w:type="dxa" w:w="3168"/>
          </w:tcPr>
          <w:p>
            <w:r>
              <w:rPr>
                <w:rFonts w:ascii="Calibri" w:hAnsi="Calibri"/>
                <w:b/>
                <w:color w:val="0B1F3A"/>
                <w:sz w:val="20"/>
              </w:rPr>
              <w:t>Number of Users:</w:t>
            </w:r>
          </w:p>
        </w:tc>
        <w:tc>
          <w:tcPr>
            <w:tcW w:type="dxa" w:w="6192"/>
          </w:tcPr>
          <w:p>
            <w:r>
              <w:rPr>
                <w:rFonts w:ascii="Calibri" w:hAnsi="Calibri"/>
                <w:i w:val="0"/>
                <w:color w:val="666666"/>
                <w:sz w:val="20"/>
              </w:rPr>
            </w:r>
          </w:p>
        </w:tc>
      </w:tr>
      <w:tr>
        <w:tc>
          <w:tcPr>
            <w:tcW w:type="dxa" w:w="3168"/>
            <w:shd w:fill="E8F0FE"/>
          </w:tcPr>
          <w:p>
            <w:r>
              <w:rPr>
                <w:rFonts w:ascii="Calibri" w:hAnsi="Calibri"/>
                <w:b/>
                <w:color w:val="0B1F3A"/>
                <w:sz w:val="20"/>
              </w:rPr>
              <w:t>Estimated Annual Cost:</w:t>
            </w:r>
          </w:p>
        </w:tc>
        <w:tc>
          <w:tcPr>
            <w:tcW w:type="dxa" w:w="6192"/>
            <w:shd w:fill="E8F0FE"/>
          </w:tcPr>
          <w:p>
            <w:r>
              <w:rPr>
                <w:rFonts w:ascii="Calibri" w:hAnsi="Calibri"/>
                <w:i w:val="0"/>
                <w:color w:val="666666"/>
                <w:sz w:val="20"/>
              </w:rPr>
            </w:r>
          </w:p>
        </w:tc>
      </w:tr>
      <w:tr>
        <w:tc>
          <w:tcPr>
            <w:tcW w:type="dxa" w:w="3168"/>
          </w:tcPr>
          <w:p>
            <w:r>
              <w:rPr>
                <w:rFonts w:ascii="Calibri" w:hAnsi="Calibri"/>
                <w:b/>
                <w:color w:val="0B1F3A"/>
                <w:sz w:val="20"/>
              </w:rPr>
              <w:t>Existing Alternatives:</w:t>
            </w:r>
          </w:p>
        </w:tc>
        <w:tc>
          <w:tcPr>
            <w:tcW w:type="dxa" w:w="6192"/>
          </w:tcPr>
          <w:p>
            <w:r>
              <w:rPr>
                <w:rFonts w:ascii="Calibri" w:hAnsi="Calibri"/>
                <w:i/>
                <w:color w:val="666666"/>
                <w:sz w:val="20"/>
              </w:rPr>
              <w:t>(Are there approved tools that could serve this need?)</w:t>
            </w:r>
          </w:p>
        </w:tc>
      </w:tr>
      <w:tr>
        <w:tc>
          <w:tcPr>
            <w:tcW w:type="dxa" w:w="3168"/>
            <w:shd w:fill="E8F0FE"/>
          </w:tcPr>
          <w:p>
            <w:r>
              <w:rPr>
                <w:rFonts w:ascii="Calibri" w:hAnsi="Calibri"/>
                <w:b/>
                <w:color w:val="0B1F3A"/>
                <w:sz w:val="20"/>
              </w:rPr>
              <w:t>Training Data Policy:</w:t>
            </w:r>
          </w:p>
        </w:tc>
        <w:tc>
          <w:tcPr>
            <w:tcW w:type="dxa" w:w="6192"/>
            <w:shd w:fill="E8F0FE"/>
          </w:tcPr>
          <w:p>
            <w:r>
              <w:rPr>
                <w:rFonts w:ascii="Calibri" w:hAnsi="Calibri"/>
                <w:i/>
                <w:color w:val="666666"/>
                <w:sz w:val="20"/>
              </w:rPr>
              <w:t>(Does the vendor use customer data for training? Y/N/Unknown)</w:t>
            </w:r>
          </w:p>
        </w:tc>
      </w:tr>
      <w:tr>
        <w:tc>
          <w:tcPr>
            <w:tcW w:type="dxa" w:w="3168"/>
          </w:tcPr>
          <w:p>
            <w:r>
              <w:rPr>
                <w:rFonts w:ascii="Calibri" w:hAnsi="Calibri"/>
                <w:b/>
                <w:color w:val="0B1F3A"/>
                <w:sz w:val="20"/>
              </w:rPr>
              <w:t>Data Residency:</w:t>
            </w:r>
          </w:p>
        </w:tc>
        <w:tc>
          <w:tcPr>
            <w:tcW w:type="dxa" w:w="6192"/>
          </w:tcPr>
          <w:p>
            <w:r>
              <w:rPr>
                <w:rFonts w:ascii="Calibri" w:hAnsi="Calibri"/>
                <w:i/>
                <w:color w:val="666666"/>
                <w:sz w:val="20"/>
              </w:rPr>
              <w:t>(Where is data stored? Domestic / International / Unknown)</w:t>
            </w:r>
          </w:p>
        </w:tc>
      </w:tr>
      <w:tr>
        <w:tc>
          <w:tcPr>
            <w:tcW w:type="dxa" w:w="3168"/>
            <w:shd w:fill="E8F0FE"/>
          </w:tcPr>
          <w:p>
            <w:r>
              <w:rPr>
                <w:rFonts w:ascii="Calibri" w:hAnsi="Calibri"/>
                <w:b/>
                <w:color w:val="0B1F3A"/>
                <w:sz w:val="20"/>
              </w:rPr>
              <w:t>Security Certifications:</w:t>
            </w:r>
          </w:p>
        </w:tc>
        <w:tc>
          <w:tcPr>
            <w:tcW w:type="dxa" w:w="6192"/>
            <w:shd w:fill="E8F0FE"/>
          </w:tcPr>
          <w:p>
            <w:r>
              <w:rPr>
                <w:rFonts w:ascii="Calibri" w:hAnsi="Calibri"/>
                <w:i/>
                <w:color w:val="666666"/>
                <w:sz w:val="20"/>
              </w:rPr>
              <w:t>(SOC 2, ISO 27001, etc. — list if known)</w:t>
            </w:r>
          </w:p>
        </w:tc>
      </w:tr>
      <w:tr>
        <w:tc>
          <w:tcPr>
            <w:tcW w:type="dxa" w:w="3168"/>
          </w:tcPr>
          <w:p>
            <w:r>
              <w:rPr>
                <w:rFonts w:ascii="Calibri" w:hAnsi="Calibri"/>
                <w:b/>
                <w:color w:val="0B1F3A"/>
                <w:sz w:val="20"/>
              </w:rPr>
              <w:t>DPA Available:</w:t>
            </w:r>
          </w:p>
        </w:tc>
        <w:tc>
          <w:tcPr>
            <w:tcW w:type="dxa" w:w="6192"/>
          </w:tcPr>
          <w:p>
            <w:r>
              <w:rPr>
                <w:rFonts w:ascii="Calibri" w:hAnsi="Calibri"/>
                <w:i/>
                <w:color w:val="666666"/>
                <w:sz w:val="20"/>
              </w:rPr>
              <w:t>☐ Yes  ☐ No  ☐ Unknown</w:t>
            </w:r>
          </w:p>
        </w:tc>
      </w:tr>
      <w:tr>
        <w:tc>
          <w:tcPr>
            <w:tcW w:type="dxa" w:w="3168"/>
            <w:shd w:fill="E8F0FE"/>
          </w:tcPr>
          <w:p>
            <w:r>
              <w:rPr>
                <w:rFonts w:ascii="Calibri" w:hAnsi="Calibri"/>
                <w:b/>
                <w:color w:val="0B1F3A"/>
                <w:sz w:val="20"/>
              </w:rPr>
              <w:t>Manager Approval:</w:t>
            </w:r>
          </w:p>
        </w:tc>
        <w:tc>
          <w:tcPr>
            <w:tcW w:type="dxa" w:w="6192"/>
            <w:shd w:fill="E8F0FE"/>
          </w:tcPr>
          <w:p>
            <w:r>
              <w:rPr>
                <w:rFonts w:ascii="Calibri" w:hAnsi="Calibri"/>
                <w:i/>
                <w:color w:val="666666"/>
                <w:sz w:val="20"/>
              </w:rPr>
              <w:t>Name: _________________ Signature: _________________ Date: _______</w:t>
            </w:r>
          </w:p>
        </w:tc>
      </w:tr>
    </w:tbl>
    <w:p/>
    <w:p>
      <w:r>
        <w:rPr>
          <w:rFonts w:ascii="Calibri" w:hAnsi="Calibri"/>
          <w:b/>
          <w:color w:val="0B1F3A"/>
          <w:sz w:val="20"/>
        </w:rPr>
        <w:t>For IT Security / AI Governance Use Only:</w:t>
      </w:r>
    </w:p>
    <w:tbl>
      <w:tblPr>
        <w:tblW w:type="auto" w:w="0"/>
        <w:jc w:val="center"/>
        <w:tblLook w:firstColumn="1" w:firstRow="1" w:lastColumn="0" w:lastRow="0" w:noHBand="0" w:noVBand="1" w:val="04A0"/>
      </w:tblPr>
      <w:tblGrid>
        <w:gridCol w:w="4680"/>
        <w:gridCol w:w="4680"/>
      </w:tblGrid>
      <w:tr>
        <w:tc>
          <w:tcPr>
            <w:tcW w:type="dxa" w:w="3168"/>
          </w:tcPr>
          <w:p>
            <w:r>
              <w:rPr>
                <w:rFonts w:ascii="Calibri" w:hAnsi="Calibri"/>
                <w:b/>
                <w:color w:val="0B1F3A"/>
                <w:sz w:val="20"/>
              </w:rPr>
              <w:t>Risk Assessment Completed:</w:t>
            </w:r>
          </w:p>
        </w:tc>
        <w:tc>
          <w:tcPr>
            <w:tcW w:type="dxa" w:w="6192"/>
          </w:tcPr>
          <w:p>
            <w:r>
              <w:rPr>
                <w:rFonts w:ascii="Calibri" w:hAnsi="Calibri"/>
                <w:color w:val="666666"/>
                <w:sz w:val="20"/>
              </w:rPr>
              <w:t>☐ Yes  ☐ No    Date: _______</w:t>
            </w:r>
          </w:p>
        </w:tc>
      </w:tr>
      <w:tr>
        <w:tc>
          <w:tcPr>
            <w:tcW w:type="dxa" w:w="3168"/>
          </w:tcPr>
          <w:p>
            <w:r>
              <w:rPr>
                <w:rFonts w:ascii="Calibri" w:hAnsi="Calibri"/>
                <w:b/>
                <w:color w:val="0B1F3A"/>
                <w:sz w:val="20"/>
              </w:rPr>
              <w:t>Vendor Security Review:</w:t>
            </w:r>
          </w:p>
        </w:tc>
        <w:tc>
          <w:tcPr>
            <w:tcW w:type="dxa" w:w="6192"/>
          </w:tcPr>
          <w:p>
            <w:r>
              <w:rPr>
                <w:rFonts w:ascii="Calibri" w:hAnsi="Calibri"/>
                <w:color w:val="666666"/>
                <w:sz w:val="20"/>
              </w:rPr>
              <w:t>☐ Pass  ☐ Fail  ☐ Conditional</w:t>
            </w:r>
          </w:p>
        </w:tc>
      </w:tr>
      <w:tr>
        <w:tc>
          <w:tcPr>
            <w:tcW w:type="dxa" w:w="3168"/>
          </w:tcPr>
          <w:p>
            <w:r>
              <w:rPr>
                <w:rFonts w:ascii="Calibri" w:hAnsi="Calibri"/>
                <w:b/>
                <w:color w:val="0B1F3A"/>
                <w:sz w:val="20"/>
              </w:rPr>
              <w:t>DPA Executed:</w:t>
            </w:r>
          </w:p>
        </w:tc>
        <w:tc>
          <w:tcPr>
            <w:tcW w:type="dxa" w:w="6192"/>
          </w:tcPr>
          <w:p>
            <w:r>
              <w:rPr>
                <w:rFonts w:ascii="Calibri" w:hAnsi="Calibri"/>
                <w:color w:val="666666"/>
                <w:sz w:val="20"/>
              </w:rPr>
              <w:t>☐ Yes  ☐ No  ☐ N/A</w:t>
            </w:r>
          </w:p>
        </w:tc>
      </w:tr>
      <w:tr>
        <w:tc>
          <w:tcPr>
            <w:tcW w:type="dxa" w:w="3168"/>
          </w:tcPr>
          <w:p>
            <w:r>
              <w:rPr>
                <w:rFonts w:ascii="Calibri" w:hAnsi="Calibri"/>
                <w:b/>
                <w:color w:val="0B1F3A"/>
                <w:sz w:val="20"/>
              </w:rPr>
              <w:t>Decision:</w:t>
            </w:r>
          </w:p>
        </w:tc>
        <w:tc>
          <w:tcPr>
            <w:tcW w:type="dxa" w:w="6192"/>
          </w:tcPr>
          <w:p>
            <w:r>
              <w:rPr>
                <w:rFonts w:ascii="Calibri" w:hAnsi="Calibri"/>
                <w:color w:val="666666"/>
                <w:sz w:val="20"/>
              </w:rPr>
              <w:t>☐ Approved  ☐ Denied  ☐ Approved with Conditions</w:t>
            </w:r>
          </w:p>
        </w:tc>
      </w:tr>
      <w:tr>
        <w:tc>
          <w:tcPr>
            <w:tcW w:type="dxa" w:w="3168"/>
          </w:tcPr>
          <w:p>
            <w:r>
              <w:rPr>
                <w:rFonts w:ascii="Calibri" w:hAnsi="Calibri"/>
                <w:b/>
                <w:color w:val="0B1F3A"/>
                <w:sz w:val="20"/>
              </w:rPr>
              <w:t>Conditions (if any):</w:t>
            </w:r>
          </w:p>
        </w:tc>
        <w:tc>
          <w:tcPr>
            <w:tcW w:type="dxa" w:w="6192"/>
          </w:tcPr>
          <w:p>
            <w:r>
              <w:rPr>
                <w:rFonts w:ascii="Calibri" w:hAnsi="Calibri"/>
                <w:color w:val="666666"/>
                <w:sz w:val="20"/>
              </w:rPr>
            </w:r>
          </w:p>
        </w:tc>
      </w:tr>
      <w:tr>
        <w:tc>
          <w:tcPr>
            <w:tcW w:type="dxa" w:w="3168"/>
          </w:tcPr>
          <w:p>
            <w:r>
              <w:rPr>
                <w:rFonts w:ascii="Calibri" w:hAnsi="Calibri"/>
                <w:b/>
                <w:color w:val="0B1F3A"/>
                <w:sz w:val="20"/>
              </w:rPr>
              <w:t>Approved By:</w:t>
            </w:r>
          </w:p>
        </w:tc>
        <w:tc>
          <w:tcPr>
            <w:tcW w:type="dxa" w:w="6192"/>
          </w:tcPr>
          <w:p>
            <w:r>
              <w:rPr>
                <w:rFonts w:ascii="Calibri" w:hAnsi="Calibri"/>
                <w:color w:val="666666"/>
                <w:sz w:val="20"/>
              </w:rPr>
              <w:t>Name: _________________ Title: _________________ Date: _______</w:t>
            </w:r>
          </w:p>
        </w:tc>
      </w:tr>
    </w:tbl>
    <w:p>
      <w:r>
        <w:br w:type="page"/>
      </w:r>
    </w:p>
    <w:p>
      <w:pPr>
        <w:pStyle w:val="Heading1"/>
        <w:pBdr>
          <w:bottom w:val="single" w:sz="6" w:space="1" w:color="1E6BB8"/>
        </w:pBdr>
      </w:pPr>
      <w:r>
        <w:t>Appendix B: AI Risk Assessment Checklist</w:t>
      </w:r>
    </w:p>
    <w:p>
      <w:r>
        <w:t>Use this checklist when evaluating AI tools for organizational deployment. Each item should be assessed and documented as part of the approval process.</w:t>
      </w:r>
    </w:p>
    <w:p>
      <w:pPr>
        <w:pStyle w:val="Heading2"/>
      </w:pPr>
      <w:r>
        <w:t>Data Security</w:t>
      </w:r>
    </w:p>
    <w:p>
      <w:pPr>
        <w:spacing w:before="40" w:after="40"/>
      </w:pPr>
      <w:r>
        <w:rPr>
          <w:rFonts w:ascii="Calibri" w:hAnsi="Calibri"/>
          <w:color w:val="333333"/>
          <w:sz w:val="20"/>
        </w:rPr>
        <w:t>☐  Does the tool encrypt data in transit (TLS 1.2+)?</w:t>
      </w:r>
    </w:p>
    <w:p>
      <w:pPr>
        <w:spacing w:before="40" w:after="40"/>
      </w:pPr>
      <w:r>
        <w:rPr>
          <w:rFonts w:ascii="Calibri" w:hAnsi="Calibri"/>
          <w:color w:val="333333"/>
          <w:sz w:val="20"/>
        </w:rPr>
        <w:t>☐  Does the tool encrypt data at rest?</w:t>
      </w:r>
    </w:p>
    <w:p>
      <w:pPr>
        <w:spacing w:before="40" w:after="40"/>
      </w:pPr>
      <w:r>
        <w:rPr>
          <w:rFonts w:ascii="Calibri" w:hAnsi="Calibri"/>
          <w:color w:val="333333"/>
          <w:sz w:val="20"/>
        </w:rPr>
        <w:t>☐  Does the vendor have SOC 2 Type II or equivalent certification?</w:t>
      </w:r>
    </w:p>
    <w:p>
      <w:pPr>
        <w:spacing w:before="40" w:after="40"/>
      </w:pPr>
      <w:r>
        <w:rPr>
          <w:rFonts w:ascii="Calibri" w:hAnsi="Calibri"/>
          <w:color w:val="333333"/>
          <w:sz w:val="20"/>
        </w:rPr>
        <w:t>☐  Can the tool be configured to prevent data retention?</w:t>
      </w:r>
    </w:p>
    <w:p>
      <w:pPr>
        <w:spacing w:before="40" w:after="40"/>
      </w:pPr>
      <w:r>
        <w:rPr>
          <w:rFonts w:ascii="Calibri" w:hAnsi="Calibri"/>
          <w:color w:val="333333"/>
          <w:sz w:val="20"/>
        </w:rPr>
        <w:t>☐  Does the vendor use customer input data for model training?</w:t>
      </w:r>
    </w:p>
    <w:p>
      <w:pPr>
        <w:spacing w:before="40" w:after="40"/>
      </w:pPr>
      <w:r>
        <w:rPr>
          <w:rFonts w:ascii="Calibri" w:hAnsi="Calibri"/>
          <w:color w:val="333333"/>
          <w:sz w:val="20"/>
        </w:rPr>
        <w:t>☐  Are API keys and credentials managed securely?</w:t>
      </w:r>
    </w:p>
    <w:p>
      <w:pPr>
        <w:spacing w:before="40" w:after="40"/>
      </w:pPr>
      <w:r>
        <w:rPr>
          <w:rFonts w:ascii="Calibri" w:hAnsi="Calibri"/>
          <w:color w:val="333333"/>
          <w:sz w:val="20"/>
        </w:rPr>
        <w:t>☐  Does the tool support SSO and MFA integration?</w:t>
      </w:r>
    </w:p>
    <w:p>
      <w:pPr>
        <w:pStyle w:val="Heading2"/>
      </w:pPr>
      <w:r>
        <w:t>Privacy and Compliance</w:t>
      </w:r>
    </w:p>
    <w:p>
      <w:pPr>
        <w:spacing w:before="40" w:after="40"/>
      </w:pPr>
      <w:r>
        <w:rPr>
          <w:rFonts w:ascii="Calibri" w:hAnsi="Calibri"/>
          <w:color w:val="333333"/>
          <w:sz w:val="20"/>
        </w:rPr>
        <w:t>☐  Has a Privacy Impact Assessment been completed?</w:t>
      </w:r>
    </w:p>
    <w:p>
      <w:pPr>
        <w:spacing w:before="40" w:after="40"/>
      </w:pPr>
      <w:r>
        <w:rPr>
          <w:rFonts w:ascii="Calibri" w:hAnsi="Calibri"/>
          <w:color w:val="333333"/>
          <w:sz w:val="20"/>
        </w:rPr>
        <w:t>☐  Does the vendor offer a Data Processing Agreement?</w:t>
      </w:r>
    </w:p>
    <w:p>
      <w:pPr>
        <w:spacing w:before="40" w:after="40"/>
      </w:pPr>
      <w:r>
        <w:rPr>
          <w:rFonts w:ascii="Calibri" w:hAnsi="Calibri"/>
          <w:color w:val="333333"/>
          <w:sz w:val="20"/>
        </w:rPr>
        <w:t>☐  Where is data physically stored (data residency)?</w:t>
      </w:r>
    </w:p>
    <w:p>
      <w:pPr>
        <w:spacing w:before="40" w:after="40"/>
      </w:pPr>
      <w:r>
        <w:rPr>
          <w:rFonts w:ascii="Calibri" w:hAnsi="Calibri"/>
          <w:color w:val="333333"/>
          <w:sz w:val="20"/>
        </w:rPr>
        <w:t>☐  Does the tool comply with relevant regulations (HIPAA, CCPA, GDPR)?</w:t>
      </w:r>
    </w:p>
    <w:p>
      <w:pPr>
        <w:spacing w:before="40" w:after="40"/>
      </w:pPr>
      <w:r>
        <w:rPr>
          <w:rFonts w:ascii="Calibri" w:hAnsi="Calibri"/>
          <w:color w:val="333333"/>
          <w:sz w:val="20"/>
        </w:rPr>
        <w:t>☐  Can data subject access and deletion requests be fulfilled?</w:t>
      </w:r>
    </w:p>
    <w:p>
      <w:pPr>
        <w:spacing w:before="40" w:after="40"/>
      </w:pPr>
      <w:r>
        <w:rPr>
          <w:rFonts w:ascii="Calibri" w:hAnsi="Calibri"/>
          <w:color w:val="333333"/>
          <w:sz w:val="20"/>
        </w:rPr>
        <w:t>☐  Are subprocessors disclosed and assessed?</w:t>
      </w:r>
    </w:p>
    <w:p>
      <w:pPr>
        <w:pStyle w:val="Heading2"/>
      </w:pPr>
      <w:r>
        <w:t>Accuracy and Reliability</w:t>
      </w:r>
    </w:p>
    <w:p>
      <w:pPr>
        <w:spacing w:before="40" w:after="40"/>
      </w:pPr>
      <w:r>
        <w:rPr>
          <w:rFonts w:ascii="Calibri" w:hAnsi="Calibri"/>
          <w:color w:val="333333"/>
          <w:sz w:val="20"/>
        </w:rPr>
        <w:t>☐  Has the tool been tested for accuracy in intended use cases?</w:t>
      </w:r>
    </w:p>
    <w:p>
      <w:pPr>
        <w:spacing w:before="40" w:after="40"/>
      </w:pPr>
      <w:r>
        <w:rPr>
          <w:rFonts w:ascii="Calibri" w:hAnsi="Calibri"/>
          <w:color w:val="333333"/>
          <w:sz w:val="20"/>
        </w:rPr>
        <w:t>☐  Are there known bias issues with the model or training data?</w:t>
      </w:r>
    </w:p>
    <w:p>
      <w:pPr>
        <w:spacing w:before="40" w:after="40"/>
      </w:pPr>
      <w:r>
        <w:rPr>
          <w:rFonts w:ascii="Calibri" w:hAnsi="Calibri"/>
          <w:color w:val="333333"/>
          <w:sz w:val="20"/>
        </w:rPr>
        <w:t>☐  Does the vendor provide model cards or transparency documentation?</w:t>
      </w:r>
    </w:p>
    <w:p>
      <w:pPr>
        <w:spacing w:before="40" w:after="40"/>
      </w:pPr>
      <w:r>
        <w:rPr>
          <w:rFonts w:ascii="Calibri" w:hAnsi="Calibri"/>
          <w:color w:val="333333"/>
          <w:sz w:val="20"/>
        </w:rPr>
        <w:t>☐  Is the tool's performance monitored and measured over time?</w:t>
      </w:r>
    </w:p>
    <w:p>
      <w:pPr>
        <w:spacing w:before="40" w:after="40"/>
      </w:pPr>
      <w:r>
        <w:rPr>
          <w:rFonts w:ascii="Calibri" w:hAnsi="Calibri"/>
          <w:color w:val="333333"/>
          <w:sz w:val="20"/>
        </w:rPr>
        <w:t>☐  Are there documented failure modes or limitations?</w:t>
      </w:r>
    </w:p>
    <w:p>
      <w:pPr>
        <w:pStyle w:val="Heading2"/>
      </w:pPr>
      <w:r>
        <w:t>Operational Risk</w:t>
      </w:r>
    </w:p>
    <w:p>
      <w:pPr>
        <w:spacing w:before="40" w:after="40"/>
      </w:pPr>
      <w:r>
        <w:rPr>
          <w:rFonts w:ascii="Calibri" w:hAnsi="Calibri"/>
          <w:color w:val="333333"/>
          <w:sz w:val="20"/>
        </w:rPr>
        <w:t>☐  What is the vendor's uptime SLA?</w:t>
      </w:r>
    </w:p>
    <w:p>
      <w:pPr>
        <w:spacing w:before="40" w:after="40"/>
      </w:pPr>
      <w:r>
        <w:rPr>
          <w:rFonts w:ascii="Calibri" w:hAnsi="Calibri"/>
          <w:color w:val="333333"/>
          <w:sz w:val="20"/>
        </w:rPr>
        <w:t>☐  Is there a documented incident response and breach notification process?</w:t>
      </w:r>
    </w:p>
    <w:p>
      <w:pPr>
        <w:spacing w:before="40" w:after="40"/>
      </w:pPr>
      <w:r>
        <w:rPr>
          <w:rFonts w:ascii="Calibri" w:hAnsi="Calibri"/>
          <w:color w:val="333333"/>
          <w:sz w:val="20"/>
        </w:rPr>
        <w:t>☐  What are the data portability and exit provisions?</w:t>
      </w:r>
    </w:p>
    <w:p>
      <w:pPr>
        <w:spacing w:before="40" w:after="40"/>
      </w:pPr>
      <w:r>
        <w:rPr>
          <w:rFonts w:ascii="Calibri" w:hAnsi="Calibri"/>
          <w:color w:val="333333"/>
          <w:sz w:val="20"/>
        </w:rPr>
        <w:t>☐  How are model updates and changes communicated?</w:t>
      </w:r>
    </w:p>
    <w:p>
      <w:pPr>
        <w:spacing w:before="40" w:after="40"/>
      </w:pPr>
      <w:r>
        <w:rPr>
          <w:rFonts w:ascii="Calibri" w:hAnsi="Calibri"/>
          <w:color w:val="333333"/>
          <w:sz w:val="20"/>
        </w:rPr>
        <w:t>☐  What are the contractual liability and indemnification terms?</w:t>
      </w:r>
    </w:p>
    <w:p>
      <w:r>
        <w:br w:type="page"/>
      </w:r>
    </w:p>
    <w:p>
      <w:pPr>
        <w:pStyle w:val="Heading1"/>
        <w:pBdr>
          <w:bottom w:val="single" w:sz="6" w:space="1" w:color="1E6BB8"/>
        </w:pBdr>
      </w:pPr>
      <w:r>
        <w:t>Appendix C: Employee Acknowledgment Form</w:t>
      </w:r>
    </w:p>
    <w:p/>
    <w:p>
      <w:r>
        <w:t>I, the undersigned, acknowledge that I have received, read, and understand the [Organization Name] Artificial Intelligence Acceptable Use Policy (Version 1.0, Effective [Date]).</w:t>
      </w:r>
    </w:p>
    <w:p>
      <w:r>
        <w:t>I understand that:</w:t>
      </w:r>
    </w:p>
    <w:p>
      <w:pPr>
        <w:pStyle w:val="ListBullet"/>
      </w:pPr>
      <w:r>
        <w:rPr>
          <w:rFonts w:ascii="Calibri" w:hAnsi="Calibri"/>
          <w:sz w:val="22"/>
        </w:rPr>
        <w:t>I am responsible for complying with all provisions of this policy when using AI technologies for organizational purposes.</w:t>
      </w:r>
    </w:p>
    <w:p>
      <w:pPr>
        <w:pStyle w:val="ListBullet"/>
      </w:pPr>
      <w:r>
        <w:rPr>
          <w:rFonts w:ascii="Calibri" w:hAnsi="Calibri"/>
          <w:sz w:val="22"/>
        </w:rPr>
        <w:t>I must use only AI tools that have been approved by the Organization and must follow all data handling requirements based on data classification levels.</w:t>
      </w:r>
    </w:p>
    <w:p>
      <w:pPr>
        <w:pStyle w:val="ListBullet"/>
      </w:pPr>
      <w:r>
        <w:rPr>
          <w:rFonts w:ascii="Calibri" w:hAnsi="Calibri"/>
          <w:sz w:val="22"/>
        </w:rPr>
        <w:t>I must not input Confidential or Restricted data into AI tools unless explicitly authorized and must apply data minimization principles in all AI interactions.</w:t>
      </w:r>
    </w:p>
    <w:p>
      <w:pPr>
        <w:pStyle w:val="ListBullet"/>
      </w:pPr>
      <w:r>
        <w:rPr>
          <w:rFonts w:ascii="Calibri" w:hAnsi="Calibri"/>
          <w:sz w:val="22"/>
        </w:rPr>
        <w:t>All AI-generated outputs are draft content requiring my verification before use, and I am responsible for the accuracy and appropriateness of any AI output I rely upon or distribute.</w:t>
      </w:r>
    </w:p>
    <w:p>
      <w:pPr>
        <w:pStyle w:val="ListBullet"/>
      </w:pPr>
      <w:r>
        <w:rPr>
          <w:rFonts w:ascii="Calibri" w:hAnsi="Calibri"/>
          <w:sz w:val="22"/>
        </w:rPr>
        <w:t>Violations of this policy may result in disciplinary action, up to and including termination of employment or contract, and may also result in legal action.</w:t>
      </w:r>
    </w:p>
    <w:p>
      <w:pPr>
        <w:pStyle w:val="ListBullet"/>
      </w:pPr>
      <w:r>
        <w:rPr>
          <w:rFonts w:ascii="Calibri" w:hAnsi="Calibri"/>
          <w:sz w:val="22"/>
        </w:rPr>
        <w:t>I will report any AI-related security incidents, policy violations, or concerns through the Organization's incident reporting process.</w:t>
      </w:r>
    </w:p>
    <w:p>
      <w:pPr>
        <w:pStyle w:val="ListBullet"/>
      </w:pPr>
      <w:r>
        <w:rPr>
          <w:rFonts w:ascii="Calibri" w:hAnsi="Calibri"/>
          <w:sz w:val="22"/>
        </w:rPr>
        <w:t>This policy may be updated periodically, and I am responsible for reviewing and complying with the most current version.</w:t>
      </w:r>
    </w:p>
    <w:p/>
    <w:p/>
    <w:p>
      <w:pPr>
        <w:spacing w:before="40" w:after="80"/>
      </w:pPr>
      <w:r>
        <w:rPr>
          <w:rFonts w:ascii="Calibri" w:hAnsi="Calibri"/>
          <w:color w:val="333333"/>
          <w:sz w:val="22"/>
        </w:rPr>
        <w:t>Employee Name (Printed): ________________________________________________</w:t>
      </w:r>
    </w:p>
    <w:p>
      <w:pPr>
        <w:spacing w:before="40" w:after="80"/>
      </w:pPr>
    </w:p>
    <w:p>
      <w:pPr>
        <w:spacing w:before="40" w:after="80"/>
      </w:pPr>
      <w:r>
        <w:rPr>
          <w:rFonts w:ascii="Calibri" w:hAnsi="Calibri"/>
          <w:color w:val="333333"/>
          <w:sz w:val="22"/>
        </w:rPr>
        <w:t>Employee Signature: ________________________________________________</w:t>
      </w:r>
    </w:p>
    <w:p>
      <w:pPr>
        <w:spacing w:before="40" w:after="80"/>
      </w:pPr>
    </w:p>
    <w:p>
      <w:pPr>
        <w:spacing w:before="40" w:after="80"/>
      </w:pPr>
      <w:r>
        <w:rPr>
          <w:rFonts w:ascii="Calibri" w:hAnsi="Calibri"/>
          <w:color w:val="333333"/>
          <w:sz w:val="22"/>
        </w:rPr>
        <w:t>Date: ________________________________________________</w:t>
      </w:r>
    </w:p>
    <w:p>
      <w:pPr>
        <w:spacing w:before="40" w:after="80"/>
      </w:pPr>
    </w:p>
    <w:p>
      <w:pPr>
        <w:spacing w:before="40" w:after="80"/>
      </w:pPr>
      <w:r>
        <w:rPr>
          <w:rFonts w:ascii="Calibri" w:hAnsi="Calibri"/>
          <w:color w:val="333333"/>
          <w:sz w:val="22"/>
        </w:rPr>
        <w:t>Department: ________________________________________________</w:t>
      </w:r>
    </w:p>
    <w:p>
      <w:pPr>
        <w:spacing w:before="40" w:after="80"/>
      </w:pPr>
    </w:p>
    <w:p>
      <w:pPr>
        <w:spacing w:before="40" w:after="80"/>
      </w:pPr>
      <w:r>
        <w:rPr>
          <w:rFonts w:ascii="Calibri" w:hAnsi="Calibri"/>
          <w:color w:val="333333"/>
          <w:sz w:val="22"/>
        </w:rPr>
        <w:t>Manager Name (Printed): ________________________________________________</w:t>
      </w:r>
    </w:p>
    <w:p>
      <w:pPr>
        <w:spacing w:before="40" w:after="80"/>
      </w:pPr>
    </w:p>
    <w:p>
      <w:pPr>
        <w:spacing w:before="40" w:after="80"/>
      </w:pPr>
      <w:r>
        <w:rPr>
          <w:rFonts w:ascii="Calibri" w:hAnsi="Calibri"/>
          <w:color w:val="333333"/>
          <w:sz w:val="22"/>
        </w:rPr>
        <w:t>Manager Signature: ________________________________________________</w:t>
      </w:r>
    </w:p>
    <w:p>
      <w:pPr>
        <w:spacing w:before="40" w:after="80"/>
      </w:pPr>
    </w:p>
    <w:p>
      <w:pPr>
        <w:spacing w:before="40" w:after="80"/>
      </w:pPr>
      <w:r>
        <w:rPr>
          <w:rFonts w:ascii="Calibri" w:hAnsi="Calibri"/>
          <w:color w:val="333333"/>
          <w:sz w:val="22"/>
        </w:rPr>
        <w:t>Date: ________________________________________________</w:t>
      </w:r>
    </w:p>
    <w:p/>
    <w:p>
      <w:pPr>
        <w:pBdr>
          <w:bottom w:val="single" w:sz="6" w:space="1" w:color="1E6BB8"/>
        </w:pBdr>
      </w:pPr>
    </w:p>
    <w:p>
      <w:pPr>
        <w:jc w:val="center"/>
      </w:pPr>
      <w:r>
        <w:rPr>
          <w:rFonts w:ascii="Calibri" w:hAnsi="Calibri"/>
          <w:i/>
          <w:color w:val="666666"/>
          <w:sz w:val="16"/>
        </w:rPr>
        <w:t>This policy template was prepared by Ayliea LLC (ayliea.com) and is intended as a starting framework. Customize to reflect the specific needs, regulatory requirements, and risk tolerance of the adopting organization. Legal review is strongly recommended before implementation.</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i/>
        <w:color w:val="999999"/>
        <w:sz w:val="16"/>
      </w:rPr>
      <w:t>Template by Ayliea LLC  —  ayliea.com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Calibri" w:hAnsi="Calibri"/>
      <w:b/>
      <w:bCs/>
      <w:color w:val="0B1F3A"/>
      <w:sz w:val="40"/>
      <w:szCs w:val="28"/>
    </w:rPr>
  </w:style>
  <w:style w:type="paragraph" w:styleId="Heading2">
    <w:name w:val="heading 2"/>
    <w:basedOn w:val="Normal"/>
    <w:next w:val="Normal"/>
    <w:link w:val="Heading2Char"/>
    <w:uiPriority w:val="9"/>
    <w:unhideWhenUsed/>
    <w:qFormat/>
    <w:rsid w:val="00FC693F"/>
    <w:pPr>
      <w:keepNext/>
      <w:keepLines/>
      <w:spacing w:before="360" w:after="120"/>
      <w:outlineLvl w:val="1"/>
    </w:pPr>
    <w:rPr>
      <w:rFonts w:asciiTheme="majorHAnsi" w:eastAsiaTheme="majorEastAsia" w:hAnsiTheme="majorHAnsi" w:cstheme="majorBidi" w:ascii="Calibri" w:hAnsi="Calibri"/>
      <w:b/>
      <w:bCs/>
      <w:color w:val="1E6BB8"/>
      <w:sz w:val="28"/>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b/>
      <w:bCs/>
      <w:color w:val="0B1F3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